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F2D6C23" w14:textId="77777777" w:rsidTr="00B0354C">
        <w:tc>
          <w:tcPr>
            <w:tcW w:w="3539" w:type="dxa"/>
          </w:tcPr>
          <w:p w14:paraId="6549AD60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9393843" wp14:editId="03303DD5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568D20BA" w14:textId="77777777" w:rsidR="00B0354C" w:rsidRDefault="00B0354C" w:rsidP="00B0354C"/>
        </w:tc>
      </w:tr>
    </w:tbl>
    <w:p w14:paraId="0C9A827D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E8CADFC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15FB5558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OIB: 28082679513 ▪ MB: 1404881 ▪ IBAN: </w:t>
      </w:r>
      <w:r w:rsidR="00EA755B">
        <w:rPr>
          <w:rFonts w:asciiTheme="minorHAnsi" w:hAnsiTheme="minorHAnsi" w:cstheme="minorHAnsi"/>
          <w:color w:val="7F7F7F" w:themeColor="text1" w:themeTint="80"/>
          <w:sz w:val="14"/>
        </w:rPr>
        <w:t>HR0823600001103081122</w:t>
      </w:r>
    </w:p>
    <w:p w14:paraId="6605DEAB" w14:textId="77777777" w:rsidR="00B0354C" w:rsidRPr="00F658ED" w:rsidRDefault="00B0354C" w:rsidP="00B0354C">
      <w:pPr>
        <w:rPr>
          <w:rFonts w:asciiTheme="minorHAnsi" w:hAnsiTheme="minorHAnsi" w:cstheme="minorHAnsi"/>
          <w:color w:val="FF0000"/>
          <w:sz w:val="14"/>
        </w:rPr>
      </w:pPr>
    </w:p>
    <w:p w14:paraId="320C13AB" w14:textId="638B0FBA" w:rsidR="00DA36B8" w:rsidRPr="00044418" w:rsidRDefault="00DA36B8" w:rsidP="00DA36B8">
      <w:pPr>
        <w:ind w:right="74"/>
      </w:pPr>
      <w:r w:rsidRPr="00044418">
        <w:t xml:space="preserve">KLASA: </w:t>
      </w:r>
      <w:r w:rsidR="00A768A4" w:rsidRPr="00044418">
        <w:rPr>
          <w:shd w:val="clear" w:color="auto" w:fill="FFFFFF"/>
        </w:rPr>
        <w:t>402-01/2</w:t>
      </w:r>
      <w:r w:rsidR="00DF2A73" w:rsidRPr="00044418">
        <w:rPr>
          <w:shd w:val="clear" w:color="auto" w:fill="FFFFFF"/>
        </w:rPr>
        <w:t>5</w:t>
      </w:r>
      <w:r w:rsidR="00A768A4" w:rsidRPr="00044418">
        <w:rPr>
          <w:shd w:val="clear" w:color="auto" w:fill="FFFFFF"/>
        </w:rPr>
        <w:t>-01/05</w:t>
      </w:r>
    </w:p>
    <w:p w14:paraId="145B562C" w14:textId="42EF84AF" w:rsidR="00DA36B8" w:rsidRPr="00044418" w:rsidRDefault="00DA36B8" w:rsidP="00DA36B8">
      <w:pPr>
        <w:spacing w:before="20" w:after="20"/>
        <w:ind w:right="23"/>
      </w:pPr>
      <w:r w:rsidRPr="00044418">
        <w:t xml:space="preserve">UR. BR.: </w:t>
      </w:r>
      <w:r w:rsidR="00A768A4" w:rsidRPr="00044418">
        <w:rPr>
          <w:shd w:val="clear" w:color="auto" w:fill="FFFFFF"/>
        </w:rPr>
        <w:t>2158-63-04-2</w:t>
      </w:r>
      <w:r w:rsidR="00DF2A73" w:rsidRPr="00044418">
        <w:rPr>
          <w:shd w:val="clear" w:color="auto" w:fill="FFFFFF"/>
        </w:rPr>
        <w:t>5</w:t>
      </w:r>
      <w:r w:rsidR="00A768A4" w:rsidRPr="00044418">
        <w:rPr>
          <w:shd w:val="clear" w:color="auto" w:fill="FFFFFF"/>
        </w:rPr>
        <w:t>-0</w:t>
      </w:r>
      <w:r w:rsidR="00A53F45">
        <w:rPr>
          <w:shd w:val="clear" w:color="auto" w:fill="FFFFFF"/>
        </w:rPr>
        <w:t>2</w:t>
      </w:r>
    </w:p>
    <w:p w14:paraId="0F05A1AA" w14:textId="77777777" w:rsidR="00DA36B8" w:rsidRDefault="00DA36B8" w:rsidP="00DA36B8">
      <w:pPr>
        <w:spacing w:before="20" w:after="20"/>
        <w:ind w:right="23"/>
      </w:pPr>
    </w:p>
    <w:p w14:paraId="6617BBC4" w14:textId="2E9298A7" w:rsidR="00DA36B8" w:rsidRDefault="00DA36B8" w:rsidP="00DA36B8">
      <w:pPr>
        <w:spacing w:before="20" w:after="20"/>
        <w:ind w:right="23"/>
      </w:pPr>
      <w:r>
        <w:t xml:space="preserve">Osijek, </w:t>
      </w:r>
      <w:r w:rsidR="00F658ED">
        <w:t>30</w:t>
      </w:r>
      <w:r>
        <w:t>. siječnja 202</w:t>
      </w:r>
      <w:r w:rsidR="00F658ED">
        <w:t>5</w:t>
      </w:r>
      <w:r>
        <w:t>.</w:t>
      </w:r>
    </w:p>
    <w:p w14:paraId="29B738AC" w14:textId="77777777" w:rsidR="00DF2A73" w:rsidRDefault="00DF2A73" w:rsidP="00DA36B8">
      <w:pPr>
        <w:rPr>
          <w:b/>
        </w:rPr>
      </w:pPr>
    </w:p>
    <w:p w14:paraId="74D7BE37" w14:textId="60835741" w:rsidR="00DA36B8" w:rsidRDefault="00DA36B8" w:rsidP="00DA36B8">
      <w:pPr>
        <w:rPr>
          <w:b/>
        </w:rPr>
      </w:pPr>
      <w:r>
        <w:rPr>
          <w:b/>
        </w:rPr>
        <w:t>REPUBLIKA HRVATSKA</w:t>
      </w:r>
    </w:p>
    <w:p w14:paraId="13A94A2E" w14:textId="4FD73EBB" w:rsidR="00DA36B8" w:rsidRDefault="00DA36B8" w:rsidP="00DA36B8">
      <w:r>
        <w:rPr>
          <w:b/>
        </w:rPr>
        <w:t>NADLEŽNO MINISTARSTVO:</w:t>
      </w:r>
      <w:r>
        <w:t xml:space="preserve"> MINISTARSTVO ZNANOSTI</w:t>
      </w:r>
      <w:r w:rsidR="00F658ED">
        <w:t>,</w:t>
      </w:r>
      <w:r>
        <w:t xml:space="preserve"> OBRAZOVANJA</w:t>
      </w:r>
      <w:r w:rsidR="00F658ED">
        <w:t xml:space="preserve"> I MLADIH</w:t>
      </w:r>
    </w:p>
    <w:p w14:paraId="608F8679" w14:textId="77777777" w:rsidR="00DA36B8" w:rsidRDefault="00DA36B8" w:rsidP="00DA36B8">
      <w:r>
        <w:rPr>
          <w:b/>
        </w:rPr>
        <w:t>PRORAČUNSKI KORISNIK:</w:t>
      </w:r>
      <w:r>
        <w:t xml:space="preserve"> SVEUČILIŠTE JOSIPA JURJA STROSSMAYERA U OSIJEKU, FAKULTET ZA ODGOJNE I OBRAZOVNE ZNANOSTI</w:t>
      </w:r>
    </w:p>
    <w:p w14:paraId="7D26BFE6" w14:textId="77777777" w:rsidR="00DA36B8" w:rsidRDefault="00DA36B8" w:rsidP="00DA36B8">
      <w:r>
        <w:rPr>
          <w:b/>
        </w:rPr>
        <w:t>OIB:</w:t>
      </w:r>
      <w:r>
        <w:t xml:space="preserve"> 28082679513</w:t>
      </w:r>
    </w:p>
    <w:p w14:paraId="529CC2A1" w14:textId="77777777" w:rsidR="00DA36B8" w:rsidRDefault="00DA36B8" w:rsidP="00DA36B8">
      <w:r>
        <w:rPr>
          <w:b/>
        </w:rPr>
        <w:t>RAZINA:</w:t>
      </w:r>
      <w:r>
        <w:t xml:space="preserve"> 11</w:t>
      </w:r>
    </w:p>
    <w:p w14:paraId="62E37FDD" w14:textId="77777777" w:rsidR="00DA36B8" w:rsidRDefault="00DA36B8" w:rsidP="00DA36B8">
      <w:r>
        <w:rPr>
          <w:b/>
        </w:rPr>
        <w:t xml:space="preserve">ŠIFRA DJELATNOSTI: </w:t>
      </w:r>
      <w:r>
        <w:t>8542</w:t>
      </w:r>
    </w:p>
    <w:p w14:paraId="4CAD3845" w14:textId="0DA8A5F3" w:rsidR="00DA36B8" w:rsidRDefault="00DA36B8" w:rsidP="00DA36B8">
      <w:pPr>
        <w:rPr>
          <w:b/>
        </w:rPr>
      </w:pPr>
      <w:r>
        <w:rPr>
          <w:b/>
        </w:rPr>
        <w:t xml:space="preserve">RAZDJEL: </w:t>
      </w:r>
      <w:r>
        <w:t xml:space="preserve">080 </w:t>
      </w:r>
      <w:r w:rsidR="00DF2A73">
        <w:t xml:space="preserve">- </w:t>
      </w:r>
      <w:r>
        <w:t>MINISTARSTVO ZNANOSTI</w:t>
      </w:r>
      <w:r w:rsidR="00F658ED">
        <w:t>,</w:t>
      </w:r>
      <w:r>
        <w:t xml:space="preserve"> OBRAZOVANJA</w:t>
      </w:r>
      <w:r w:rsidR="00F658ED">
        <w:t xml:space="preserve"> I MLADIH</w:t>
      </w:r>
    </w:p>
    <w:p w14:paraId="2C5499FE" w14:textId="77777777" w:rsidR="00DA36B8" w:rsidRDefault="00DA36B8" w:rsidP="00DA36B8">
      <w:r>
        <w:rPr>
          <w:b/>
        </w:rPr>
        <w:t>RKP:</w:t>
      </w:r>
      <w:r>
        <w:t xml:space="preserve"> 22486</w:t>
      </w:r>
    </w:p>
    <w:p w14:paraId="44A46078" w14:textId="77777777" w:rsidR="00DA36B8" w:rsidRDefault="00DA36B8" w:rsidP="00DA36B8">
      <w:r>
        <w:rPr>
          <w:b/>
        </w:rPr>
        <w:t>OSOBA ZA KONTAKTIRANJE:</w:t>
      </w:r>
      <w:r>
        <w:t xml:space="preserve"> Jozo Krajina,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14:paraId="7115A219" w14:textId="77777777" w:rsidR="00DA36B8" w:rsidRDefault="00DA36B8" w:rsidP="00DA36B8">
      <w:r>
        <w:rPr>
          <w:b/>
        </w:rPr>
        <w:t>TELEFON/FAKS:</w:t>
      </w:r>
      <w:r>
        <w:t xml:space="preserve"> 031 321 708, 031 321 899</w:t>
      </w:r>
    </w:p>
    <w:p w14:paraId="65F8965C" w14:textId="77777777" w:rsidR="00DA36B8" w:rsidRDefault="00DA36B8" w:rsidP="00DA36B8">
      <w:r>
        <w:rPr>
          <w:b/>
        </w:rPr>
        <w:t xml:space="preserve">ADRESA E-POŠTE: </w:t>
      </w:r>
      <w:hyperlink r:id="rId9" w:history="1">
        <w:r>
          <w:rPr>
            <w:rStyle w:val="Hiperveza"/>
            <w:color w:val="auto"/>
          </w:rPr>
          <w:t>jkrajina@foozos.hr</w:t>
        </w:r>
      </w:hyperlink>
      <w:r>
        <w:t xml:space="preserve">, </w:t>
      </w:r>
      <w:hyperlink r:id="rId10" w:history="1">
        <w:r>
          <w:rPr>
            <w:rStyle w:val="Hiperveza"/>
            <w:color w:val="auto"/>
          </w:rPr>
          <w:t>helpdesk@foozos.hr</w:t>
        </w:r>
      </w:hyperlink>
    </w:p>
    <w:p w14:paraId="0CAD3C3D" w14:textId="77777777" w:rsidR="00DA36B8" w:rsidRDefault="00DA36B8" w:rsidP="00DA36B8">
      <w:r>
        <w:rPr>
          <w:b/>
        </w:rPr>
        <w:t>ZAKONSKI PREDSTAVNIK:</w:t>
      </w:r>
      <w:r>
        <w:t xml:space="preserve"> prof. dr. sc. Emina </w:t>
      </w:r>
      <w:proofErr w:type="spellStart"/>
      <w:r>
        <w:t>Berbić</w:t>
      </w:r>
      <w:proofErr w:type="spellEnd"/>
      <w:r>
        <w:t xml:space="preserve"> Kolar, dekanica</w:t>
      </w:r>
    </w:p>
    <w:p w14:paraId="6CECAA74" w14:textId="77777777" w:rsidR="00DA36B8" w:rsidRDefault="00DA36B8" w:rsidP="00DA36B8">
      <w:pPr>
        <w:spacing w:line="360" w:lineRule="auto"/>
      </w:pPr>
    </w:p>
    <w:p w14:paraId="4E540A1E" w14:textId="77777777" w:rsidR="00DA36B8" w:rsidRDefault="00DA36B8" w:rsidP="00DA36B8">
      <w:pPr>
        <w:spacing w:line="360" w:lineRule="auto"/>
        <w:jc w:val="center"/>
        <w:rPr>
          <w:b/>
        </w:rPr>
      </w:pPr>
      <w:r>
        <w:rPr>
          <w:b/>
        </w:rPr>
        <w:t>BILJEŠKE UZ FINANCIJSKO IZVJEŠĆE</w:t>
      </w:r>
    </w:p>
    <w:p w14:paraId="091502FC" w14:textId="1EA6E070" w:rsidR="00DA36B8" w:rsidRDefault="00DA36B8" w:rsidP="00DA36B8">
      <w:pPr>
        <w:spacing w:line="360" w:lineRule="auto"/>
        <w:jc w:val="center"/>
        <w:rPr>
          <w:b/>
        </w:rPr>
      </w:pPr>
      <w:r>
        <w:rPr>
          <w:b/>
        </w:rPr>
        <w:t xml:space="preserve">(za razdoblje </w:t>
      </w:r>
      <w:r w:rsidR="00044418">
        <w:rPr>
          <w:b/>
        </w:rPr>
        <w:t xml:space="preserve">od </w:t>
      </w:r>
      <w:r>
        <w:rPr>
          <w:b/>
        </w:rPr>
        <w:t xml:space="preserve">1. </w:t>
      </w:r>
      <w:r w:rsidR="00044418">
        <w:rPr>
          <w:b/>
        </w:rPr>
        <w:t>siječnja</w:t>
      </w:r>
      <w:r>
        <w:rPr>
          <w:b/>
        </w:rPr>
        <w:t xml:space="preserve"> 202</w:t>
      </w:r>
      <w:r w:rsidR="00244FD5">
        <w:rPr>
          <w:b/>
        </w:rPr>
        <w:t>4</w:t>
      </w:r>
      <w:r>
        <w:rPr>
          <w:b/>
        </w:rPr>
        <w:t xml:space="preserve">. do 31. </w:t>
      </w:r>
      <w:r w:rsidR="00044418">
        <w:rPr>
          <w:b/>
        </w:rPr>
        <w:t>prosinca</w:t>
      </w:r>
      <w:r>
        <w:rPr>
          <w:b/>
        </w:rPr>
        <w:t xml:space="preserve"> 202</w:t>
      </w:r>
      <w:r w:rsidR="00244FD5">
        <w:rPr>
          <w:b/>
        </w:rPr>
        <w:t>4</w:t>
      </w:r>
      <w:r>
        <w:rPr>
          <w:b/>
        </w:rPr>
        <w:t>. godine)</w:t>
      </w:r>
    </w:p>
    <w:p w14:paraId="0620281C" w14:textId="77777777" w:rsidR="00DA36B8" w:rsidRDefault="00DA36B8" w:rsidP="00DA36B8">
      <w:pPr>
        <w:spacing w:line="360" w:lineRule="auto"/>
        <w:jc w:val="center"/>
        <w:rPr>
          <w:b/>
        </w:rPr>
      </w:pPr>
    </w:p>
    <w:p w14:paraId="1AAF743E" w14:textId="76BD5A0F" w:rsidR="00DA36B8" w:rsidRDefault="00DA36B8" w:rsidP="00DA36B8">
      <w:pPr>
        <w:spacing w:line="360" w:lineRule="auto"/>
        <w:jc w:val="both"/>
      </w:pPr>
      <w:r>
        <w:t>Fakultet za odgojne i obrazovne znanosti je javno visoko učilište u sastavu Sveučilišta J</w:t>
      </w:r>
      <w:r w:rsidR="00044418">
        <w:t>osipa</w:t>
      </w:r>
      <w:r>
        <w:t xml:space="preserve"> J</w:t>
      </w:r>
      <w:r w:rsidR="00044418">
        <w:t>urja</w:t>
      </w:r>
      <w:r>
        <w:t xml:space="preserve"> Strossmayera u Osijeku. Osnovna djelatnost Fakulteta je visoko obrazovanje i znanost. Najvećim dijelom se financira iz državnoga proračuna Republike Hrvatske, a manjim dijelom od obavljanja vlastite djelatnosti.</w:t>
      </w:r>
    </w:p>
    <w:p w14:paraId="580B3F98" w14:textId="15A72A25" w:rsidR="00DA36B8" w:rsidRDefault="00DA36B8" w:rsidP="00DA36B8">
      <w:pPr>
        <w:spacing w:line="360" w:lineRule="auto"/>
        <w:jc w:val="both"/>
      </w:pPr>
      <w:r>
        <w:t>Sukladno čl. 15. – 18. Pravilnika o financijskom izvještavanju u proračunskom računovodstvu (Nar. nov., br. 37/2022.) dostavljamo Bilješke uz financijsko izvješće kao dopunu i pojašnjenje određenih pozicija iz financijskoga izvješća.</w:t>
      </w:r>
    </w:p>
    <w:p w14:paraId="42939897" w14:textId="77777777" w:rsidR="00DA36B8" w:rsidRDefault="00DA36B8" w:rsidP="00DA36B8">
      <w:pPr>
        <w:spacing w:line="360" w:lineRule="auto"/>
        <w:jc w:val="both"/>
        <w:rPr>
          <w:b/>
        </w:rPr>
      </w:pPr>
    </w:p>
    <w:p w14:paraId="3351A1B0" w14:textId="77777777" w:rsidR="00DA36B8" w:rsidRDefault="00DA36B8" w:rsidP="00DA36B8">
      <w:pPr>
        <w:spacing w:line="360" w:lineRule="auto"/>
        <w:jc w:val="both"/>
        <w:rPr>
          <w:b/>
        </w:rPr>
      </w:pPr>
      <w:r>
        <w:rPr>
          <w:b/>
        </w:rPr>
        <w:t>BILJEŠKE UZ OBRAZAC PR-RAS</w:t>
      </w:r>
    </w:p>
    <w:p w14:paraId="76455F73" w14:textId="2D00F803" w:rsidR="00DA36B8" w:rsidRDefault="00DA36B8" w:rsidP="00DA36B8">
      <w:pPr>
        <w:spacing w:line="360" w:lineRule="auto"/>
        <w:jc w:val="both"/>
      </w:pPr>
      <w:r>
        <w:t xml:space="preserve">ŠIFRA 6 – </w:t>
      </w:r>
      <w:r w:rsidR="00364435">
        <w:t xml:space="preserve">povećanje </w:t>
      </w:r>
      <w:r>
        <w:t xml:space="preserve">prihodi u izvještajnom razdoblju </w:t>
      </w:r>
      <w:r w:rsidR="00364435">
        <w:t>najvećim dijelom odnosi</w:t>
      </w:r>
      <w:r w:rsidR="00DF2A73">
        <w:t xml:space="preserve"> se</w:t>
      </w:r>
      <w:r w:rsidR="00364435">
        <w:t xml:space="preserve"> na povećanje prihoda iz nadležnog proračuna</w:t>
      </w:r>
    </w:p>
    <w:p w14:paraId="1AB55D22" w14:textId="77777777" w:rsidR="00A768A4" w:rsidRDefault="00A768A4" w:rsidP="00DA36B8">
      <w:pPr>
        <w:spacing w:line="360" w:lineRule="auto"/>
        <w:jc w:val="both"/>
      </w:pPr>
    </w:p>
    <w:p w14:paraId="152EBEAB" w14:textId="061BFED2" w:rsidR="00DA36B8" w:rsidRDefault="00DA36B8" w:rsidP="00DA36B8">
      <w:pPr>
        <w:spacing w:line="360" w:lineRule="auto"/>
        <w:jc w:val="both"/>
      </w:pPr>
      <w:r>
        <w:lastRenderedPageBreak/>
        <w:t>ŠIFRA 63</w:t>
      </w:r>
      <w:r w:rsidR="00DA557F">
        <w:t>9</w:t>
      </w:r>
      <w:r>
        <w:t xml:space="preserve"> – povećanje </w:t>
      </w:r>
      <w:r w:rsidR="00DA557F">
        <w:t>je rezultat ostvarene veće pomoći za znanstvenu infrastrukturu, izdanja knjiga, udžbenika i priručnika koje je financiralo nadležno ministarstvo temeljem natječaja u 2024. godini</w:t>
      </w:r>
    </w:p>
    <w:p w14:paraId="3D5569A2" w14:textId="77777777" w:rsidR="00DA36B8" w:rsidRDefault="00DA36B8" w:rsidP="00DA36B8">
      <w:pPr>
        <w:spacing w:line="360" w:lineRule="auto"/>
        <w:jc w:val="both"/>
      </w:pPr>
    </w:p>
    <w:p w14:paraId="7DBD8EFA" w14:textId="579A7716" w:rsidR="00DA36B8" w:rsidRDefault="00DA36B8" w:rsidP="00DA36B8">
      <w:pPr>
        <w:spacing w:line="360" w:lineRule="auto"/>
        <w:jc w:val="both"/>
      </w:pPr>
      <w:r>
        <w:t>ŠIFRA 652 – povećanje je rezultat povećanja broja upisanih studenata zbog pokretanja novoga studijskoga programa</w:t>
      </w:r>
      <w:r w:rsidR="00DA557F">
        <w:t>, te zbog veće naplate potraživanja iz prethodn</w:t>
      </w:r>
      <w:r w:rsidR="00DF2A73">
        <w:t>og i tekućeg</w:t>
      </w:r>
      <w:r w:rsidR="00DA557F">
        <w:t xml:space="preserve"> razdoblja</w:t>
      </w:r>
    </w:p>
    <w:p w14:paraId="6C230C92" w14:textId="77777777" w:rsidR="00DA36B8" w:rsidRDefault="00DA36B8" w:rsidP="00DA36B8">
      <w:pPr>
        <w:spacing w:line="360" w:lineRule="auto"/>
        <w:jc w:val="both"/>
      </w:pPr>
    </w:p>
    <w:p w14:paraId="17A631B5" w14:textId="165151EE" w:rsidR="00DA36B8" w:rsidRDefault="00DA36B8" w:rsidP="00DA36B8">
      <w:pPr>
        <w:spacing w:line="360" w:lineRule="auto"/>
        <w:jc w:val="both"/>
      </w:pPr>
      <w:r>
        <w:t xml:space="preserve">ŠIFRA 661 – </w:t>
      </w:r>
      <w:r w:rsidR="00DA557F">
        <w:t>povećanje prihoda rezultat je povećanja aktivnosti ostvarenih od programa cjeloživotnih obrazovanja i prihoda ostvarenih od prodaje knjiga u vlastitom izdanju</w:t>
      </w:r>
    </w:p>
    <w:p w14:paraId="5DCD992F" w14:textId="77777777" w:rsidR="00DA36B8" w:rsidRDefault="00DA36B8" w:rsidP="00DA36B8">
      <w:pPr>
        <w:spacing w:line="360" w:lineRule="auto"/>
        <w:jc w:val="both"/>
      </w:pPr>
    </w:p>
    <w:p w14:paraId="337A9543" w14:textId="11A2A715" w:rsidR="00DA36B8" w:rsidRDefault="00DA36B8" w:rsidP="00DA36B8">
      <w:pPr>
        <w:spacing w:line="360" w:lineRule="auto"/>
        <w:jc w:val="both"/>
      </w:pPr>
      <w:r>
        <w:t xml:space="preserve">ŠIFRA 671 – </w:t>
      </w:r>
      <w:r w:rsidR="00364435">
        <w:t xml:space="preserve">povećanje </w:t>
      </w:r>
      <w:r>
        <w:t xml:space="preserve">prihodi iz nadležnog proračuna </w:t>
      </w:r>
      <w:r w:rsidR="00364435">
        <w:t>rezultat je povećanja plaća</w:t>
      </w:r>
      <w:r w:rsidR="00DA557F">
        <w:t xml:space="preserve"> koja su ostvarena zbog primjene novih zakonskih propisa (Zakon o plaćama</w:t>
      </w:r>
      <w:r w:rsidR="00364435">
        <w:t xml:space="preserve"> </w:t>
      </w:r>
      <w:r w:rsidR="00DA557F">
        <w:t xml:space="preserve">u državnoj službi i javnim službama i </w:t>
      </w:r>
      <w:r w:rsidR="002F3143">
        <w:t>Uredbe o nazivima radnih mjesta, uvjetima za raspored i koeficijentima za obračun plaće u javnim službama)</w:t>
      </w:r>
    </w:p>
    <w:p w14:paraId="00BD087B" w14:textId="77777777" w:rsidR="00DA36B8" w:rsidRPr="002F3143" w:rsidRDefault="00DA36B8" w:rsidP="00DA36B8">
      <w:pPr>
        <w:spacing w:line="360" w:lineRule="auto"/>
        <w:jc w:val="both"/>
        <w:rPr>
          <w:color w:val="FF0000"/>
        </w:rPr>
      </w:pPr>
    </w:p>
    <w:p w14:paraId="6EFB01B1" w14:textId="31E8F9C8" w:rsidR="00DA36B8" w:rsidRPr="00CB50A2" w:rsidRDefault="00DA36B8" w:rsidP="00DA36B8">
      <w:pPr>
        <w:spacing w:line="360" w:lineRule="auto"/>
        <w:jc w:val="both"/>
      </w:pPr>
      <w:r w:rsidRPr="00CB50A2">
        <w:t xml:space="preserve">ŠIFRA 3 – </w:t>
      </w:r>
      <w:r w:rsidR="00364435" w:rsidRPr="00CB50A2">
        <w:t xml:space="preserve">povećanje </w:t>
      </w:r>
      <w:r w:rsidRPr="00CB50A2">
        <w:t>rashod</w:t>
      </w:r>
      <w:r w:rsidR="00364435" w:rsidRPr="00CB50A2">
        <w:t>a</w:t>
      </w:r>
      <w:r w:rsidRPr="00CB50A2">
        <w:t xml:space="preserve"> poslovanja </w:t>
      </w:r>
      <w:r w:rsidR="00364435" w:rsidRPr="00CB50A2">
        <w:t>najvećim dijelom rezultat je povećanja rashoda za zaposlene</w:t>
      </w:r>
    </w:p>
    <w:p w14:paraId="2E7CC72F" w14:textId="77777777" w:rsidR="00DA36B8" w:rsidRDefault="00DA36B8" w:rsidP="00DA36B8">
      <w:pPr>
        <w:spacing w:line="360" w:lineRule="auto"/>
        <w:jc w:val="both"/>
      </w:pPr>
    </w:p>
    <w:p w14:paraId="75D379B6" w14:textId="23B388F3" w:rsidR="002F3143" w:rsidRDefault="00DA36B8" w:rsidP="002F3143">
      <w:pPr>
        <w:spacing w:line="360" w:lineRule="auto"/>
        <w:jc w:val="both"/>
      </w:pPr>
      <w:r>
        <w:t xml:space="preserve">ŠIFRA 311 – </w:t>
      </w:r>
      <w:r w:rsidR="00364435">
        <w:t xml:space="preserve">povećanje </w:t>
      </w:r>
      <w:r>
        <w:t>rashod</w:t>
      </w:r>
      <w:r w:rsidR="00364435">
        <w:t>a</w:t>
      </w:r>
      <w:r>
        <w:t xml:space="preserve"> za </w:t>
      </w:r>
      <w:r w:rsidR="00364435">
        <w:t xml:space="preserve">zaposlene rezultat </w:t>
      </w:r>
      <w:r w:rsidR="002F3143">
        <w:t>je povećanja plaća koja su ostvarena zbog primjene novih zakonskih propisa (Zakon o plaćama u državnoj službi i javnim službama i Uredbe o nazivima radnih mjesta, uvjetima za raspored i koeficijentima za obračun plaće u javnim službama), u tekućem izvještajnom razdoblju realizirana su nova zapošljavanja</w:t>
      </w:r>
    </w:p>
    <w:p w14:paraId="79DD9B71" w14:textId="4CF14210" w:rsidR="00DA36B8" w:rsidRDefault="00DA36B8" w:rsidP="00DA36B8">
      <w:pPr>
        <w:spacing w:line="360" w:lineRule="auto"/>
        <w:jc w:val="both"/>
      </w:pPr>
    </w:p>
    <w:p w14:paraId="1D21CADD" w14:textId="13BAFA4A" w:rsidR="00DA36B8" w:rsidRDefault="00DA36B8" w:rsidP="00DA36B8">
      <w:pPr>
        <w:spacing w:line="360" w:lineRule="auto"/>
        <w:jc w:val="both"/>
      </w:pPr>
      <w:r>
        <w:t>ŠIFRA 3</w:t>
      </w:r>
      <w:r w:rsidR="00364435">
        <w:t>22</w:t>
      </w:r>
      <w:r>
        <w:t xml:space="preserve"> – </w:t>
      </w:r>
      <w:r w:rsidR="002F3143">
        <w:t>rashodi na ovoj poziciji nisu se značajno promijenili, blago povećanje rezultat je povećanih rashoda za materijal za tekuće i investicijsko održavanje</w:t>
      </w:r>
      <w:r w:rsidR="00DF2A73">
        <w:t>,</w:t>
      </w:r>
      <w:r w:rsidR="002F3143">
        <w:t xml:space="preserve"> uredski materijal i ostale materijalne rashode</w:t>
      </w:r>
    </w:p>
    <w:p w14:paraId="347041D9" w14:textId="77777777" w:rsidR="00DA36B8" w:rsidRDefault="00DA36B8" w:rsidP="00DA36B8">
      <w:pPr>
        <w:spacing w:line="360" w:lineRule="auto"/>
        <w:jc w:val="both"/>
      </w:pPr>
    </w:p>
    <w:p w14:paraId="519AF933" w14:textId="75141077" w:rsidR="00DA36B8" w:rsidRDefault="00DA36B8" w:rsidP="00DA36B8">
      <w:pPr>
        <w:spacing w:line="360" w:lineRule="auto"/>
        <w:jc w:val="both"/>
      </w:pPr>
      <w:r>
        <w:t>ŠIFRA 3</w:t>
      </w:r>
      <w:r w:rsidR="00C43BB3">
        <w:t>43</w:t>
      </w:r>
      <w:r>
        <w:t xml:space="preserve"> – </w:t>
      </w:r>
      <w:r w:rsidR="00C43BB3">
        <w:t>smanjenje</w:t>
      </w:r>
      <w:r>
        <w:t xml:space="preserve"> rashoda na ovoj poziciji rezultat je </w:t>
      </w:r>
      <w:r w:rsidR="00C43BB3">
        <w:t xml:space="preserve">smanjenja rashoda za </w:t>
      </w:r>
      <w:r w:rsidR="00CB50A2">
        <w:t>bankarske usluge</w:t>
      </w:r>
    </w:p>
    <w:p w14:paraId="2062A354" w14:textId="77777777" w:rsidR="00DA36B8" w:rsidRDefault="00DA36B8" w:rsidP="00DA36B8">
      <w:pPr>
        <w:spacing w:line="360" w:lineRule="auto"/>
        <w:jc w:val="both"/>
      </w:pPr>
    </w:p>
    <w:p w14:paraId="2D6EBAF3" w14:textId="094891C1" w:rsidR="00C43BB3" w:rsidRDefault="00DA36B8" w:rsidP="00CB50A2">
      <w:pPr>
        <w:spacing w:line="360" w:lineRule="auto"/>
        <w:jc w:val="both"/>
      </w:pPr>
      <w:r>
        <w:t xml:space="preserve">ŠIFRA 4 </w:t>
      </w:r>
      <w:r w:rsidR="00CB50A2">
        <w:t xml:space="preserve">i ŠIFRA 422 </w:t>
      </w:r>
      <w:r>
        <w:t xml:space="preserve">– </w:t>
      </w:r>
      <w:r w:rsidR="00CB50A2">
        <w:t>u tekućem izvještajnom razdoblju realizirana je nabava računalne opreme u većem iznosu u odnosu na prethodno izvještajno razdoblje</w:t>
      </w:r>
    </w:p>
    <w:p w14:paraId="400C4612" w14:textId="77777777" w:rsidR="00CB50A2" w:rsidRDefault="00CB50A2" w:rsidP="00CB50A2">
      <w:pPr>
        <w:spacing w:line="360" w:lineRule="auto"/>
        <w:jc w:val="both"/>
      </w:pPr>
    </w:p>
    <w:p w14:paraId="144B9C0E" w14:textId="77777777" w:rsidR="00DA36B8" w:rsidRDefault="00DA36B8" w:rsidP="00DA36B8">
      <w:pPr>
        <w:spacing w:line="360" w:lineRule="auto"/>
        <w:jc w:val="both"/>
        <w:rPr>
          <w:b/>
        </w:rPr>
      </w:pPr>
    </w:p>
    <w:p w14:paraId="4A4812F9" w14:textId="606105C0" w:rsidR="00DA36B8" w:rsidRDefault="00DA36B8" w:rsidP="00DA36B8">
      <w:pPr>
        <w:spacing w:line="360" w:lineRule="auto"/>
        <w:jc w:val="both"/>
      </w:pPr>
      <w:r>
        <w:rPr>
          <w:b/>
        </w:rPr>
        <w:lastRenderedPageBreak/>
        <w:t>BILJEŠKE UZ</w:t>
      </w:r>
      <w:r w:rsidR="00244FD5">
        <w:rPr>
          <w:b/>
        </w:rPr>
        <w:t xml:space="preserve"> OBRAZAC</w:t>
      </w:r>
      <w:r>
        <w:rPr>
          <w:b/>
        </w:rPr>
        <w:t xml:space="preserve"> BILANC</w:t>
      </w:r>
      <w:r w:rsidR="00DF2A73">
        <w:rPr>
          <w:b/>
        </w:rPr>
        <w:t>A</w:t>
      </w:r>
    </w:p>
    <w:p w14:paraId="4A0CC77A" w14:textId="4F1CE81F" w:rsidR="00DA36B8" w:rsidRDefault="00DA36B8" w:rsidP="00DA36B8">
      <w:pPr>
        <w:spacing w:line="360" w:lineRule="auto"/>
        <w:jc w:val="both"/>
      </w:pPr>
      <w:r>
        <w:t xml:space="preserve">ŠIFRA B002 – </w:t>
      </w:r>
      <w:r w:rsidR="00CB50A2">
        <w:t xml:space="preserve">vrijednost nefinancijske imovine </w:t>
      </w:r>
      <w:r w:rsidR="0077072D">
        <w:t xml:space="preserve">nije značajno promijenjena, u tekućem izvještajnom razdoblju smanjena je vrijednost nematerijalne imovine (šifra 012) zbog prijenosa ulaganja u tuđu imovinu radi prava korištenja te zbog povećanja </w:t>
      </w:r>
      <w:r w:rsidR="00397C8E">
        <w:t xml:space="preserve">sadašnje </w:t>
      </w:r>
      <w:r w:rsidR="00932E7A">
        <w:t xml:space="preserve">vrijednosti postrojenja i opreme (šifra 022) koja je rezultat smanjenja ispravka vrijednosti na istoj poziciji zbog </w:t>
      </w:r>
      <w:proofErr w:type="spellStart"/>
      <w:r w:rsidR="00932E7A">
        <w:t>isknjiženja</w:t>
      </w:r>
      <w:proofErr w:type="spellEnd"/>
      <w:r w:rsidR="00932E7A">
        <w:t xml:space="preserve"> rashodovane imovine iz prethodnoga razdoblja</w:t>
      </w:r>
    </w:p>
    <w:p w14:paraId="237F80E8" w14:textId="6D811BB8" w:rsidR="00106F6B" w:rsidRDefault="00106F6B" w:rsidP="00DA36B8">
      <w:pPr>
        <w:spacing w:line="360" w:lineRule="auto"/>
        <w:jc w:val="both"/>
      </w:pPr>
    </w:p>
    <w:p w14:paraId="22081C8F" w14:textId="16911AAB" w:rsidR="00DA36B8" w:rsidRDefault="00DA36B8" w:rsidP="00DA36B8">
      <w:pPr>
        <w:spacing w:line="360" w:lineRule="auto"/>
        <w:jc w:val="both"/>
      </w:pPr>
      <w:r>
        <w:t xml:space="preserve">ŠIFRA 1 – </w:t>
      </w:r>
      <w:r w:rsidR="00106F6B">
        <w:t>povećanje na ovoj poziciji rezultat</w:t>
      </w:r>
      <w:r w:rsidR="00DF2A73">
        <w:t xml:space="preserve"> je</w:t>
      </w:r>
      <w:r w:rsidR="00106F6B">
        <w:t xml:space="preserve"> povećanja novčanih sredstava na računu u banci (šifra 111), te povećanja rashoda budućih razdoblja </w:t>
      </w:r>
      <w:r w:rsidR="00DF2A73">
        <w:t xml:space="preserve">zbog </w:t>
      </w:r>
      <w:r w:rsidR="00106F6B">
        <w:t>povećanja rashoda za zaposlene (šifra 1</w:t>
      </w:r>
      <w:r w:rsidR="00932E7A">
        <w:t>9</w:t>
      </w:r>
      <w:r w:rsidR="00106F6B">
        <w:t>)</w:t>
      </w:r>
      <w:r w:rsidR="00932E7A">
        <w:t xml:space="preserve">, potraživanja za prihode poslovanja (šifra 16) smanjena su zbog bolje naplate prihoda iz prethodnih razdoblja </w:t>
      </w:r>
      <w:r w:rsidR="00DF2A73">
        <w:t>i</w:t>
      </w:r>
      <w:r w:rsidR="00932E7A">
        <w:t xml:space="preserve"> tekućeg razdoblja</w:t>
      </w:r>
    </w:p>
    <w:p w14:paraId="2C3C54FF" w14:textId="77777777" w:rsidR="00DA36B8" w:rsidRDefault="00DA36B8" w:rsidP="00DA36B8">
      <w:pPr>
        <w:spacing w:line="360" w:lineRule="auto"/>
        <w:jc w:val="both"/>
      </w:pPr>
    </w:p>
    <w:p w14:paraId="21957336" w14:textId="1295BBA4" w:rsidR="00DA36B8" w:rsidRDefault="00DA36B8" w:rsidP="00DA36B8">
      <w:pPr>
        <w:spacing w:line="360" w:lineRule="auto"/>
        <w:jc w:val="both"/>
      </w:pPr>
      <w:r>
        <w:t>ŠIFRA 2 – povećanje ove pozicije rezultat je povećanja obveza za zaposlene</w:t>
      </w:r>
      <w:r w:rsidR="00050AAC">
        <w:t xml:space="preserve"> zbog povećanja plaća za zaposlene (šifra 231), promjene na ostalim pozicijama nemaju značajniji utjecaj</w:t>
      </w:r>
    </w:p>
    <w:p w14:paraId="7D719769" w14:textId="77777777" w:rsidR="00DA36B8" w:rsidRDefault="00DA36B8" w:rsidP="00DA36B8">
      <w:pPr>
        <w:spacing w:line="360" w:lineRule="auto"/>
        <w:jc w:val="both"/>
      </w:pPr>
    </w:p>
    <w:p w14:paraId="09CA8B36" w14:textId="3BD552DB" w:rsidR="00DA36B8" w:rsidRDefault="00DA36B8" w:rsidP="00DA36B8">
      <w:pPr>
        <w:spacing w:line="360" w:lineRule="auto"/>
        <w:jc w:val="both"/>
      </w:pPr>
      <w:r>
        <w:t xml:space="preserve">ŠIFRA 9 – </w:t>
      </w:r>
      <w:r w:rsidR="00397C8E">
        <w:t>vrijednost vlastitih izvora na godišnjoj razini nije značajno promijenjena, na ovaj rezultat utjecao je ostvareni višah prihoda u tekućoj godini (šifra 922) te smanjenje obračunskih prihoda (šifra 96) zbog bolje naplate prihoda iz prethodnih i tekućih razdoblja</w:t>
      </w:r>
    </w:p>
    <w:p w14:paraId="01D86511" w14:textId="65A9F7EB" w:rsidR="00244FD5" w:rsidRDefault="00244FD5" w:rsidP="00DA36B8">
      <w:pPr>
        <w:spacing w:line="360" w:lineRule="auto"/>
        <w:jc w:val="both"/>
      </w:pPr>
    </w:p>
    <w:p w14:paraId="078342D5" w14:textId="36080060" w:rsidR="00244FD5" w:rsidRDefault="00244FD5" w:rsidP="00244FD5">
      <w:pPr>
        <w:spacing w:line="276" w:lineRule="auto"/>
        <w:ind w:firstLine="708"/>
        <w:rPr>
          <w:b/>
          <w:iCs/>
          <w:color w:val="000000" w:themeColor="text1"/>
        </w:rPr>
      </w:pPr>
      <w:r w:rsidRPr="0081061B">
        <w:rPr>
          <w:b/>
          <w:iCs/>
          <w:color w:val="000000" w:themeColor="text1"/>
        </w:rPr>
        <w:t>Popis sudskih sporova u tijeku</w:t>
      </w:r>
    </w:p>
    <w:p w14:paraId="6C0329FB" w14:textId="77777777" w:rsidR="00DF2A73" w:rsidRPr="0081061B" w:rsidRDefault="00DF2A73" w:rsidP="00244FD5">
      <w:pPr>
        <w:spacing w:line="276" w:lineRule="auto"/>
        <w:ind w:firstLine="708"/>
        <w:rPr>
          <w:b/>
          <w:iCs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002"/>
        <w:gridCol w:w="962"/>
        <w:gridCol w:w="1342"/>
        <w:gridCol w:w="1016"/>
        <w:gridCol w:w="1386"/>
        <w:gridCol w:w="1397"/>
        <w:gridCol w:w="1314"/>
      </w:tblGrid>
      <w:tr w:rsidR="00DF2A73" w:rsidRPr="00F3038F" w14:paraId="7FAF6E37" w14:textId="77777777" w:rsidTr="003B529B">
        <w:trPr>
          <w:trHeight w:val="829"/>
          <w:jc w:val="center"/>
        </w:trPr>
        <w:tc>
          <w:tcPr>
            <w:tcW w:w="647" w:type="dxa"/>
            <w:shd w:val="pct5" w:color="auto" w:fill="auto"/>
            <w:vAlign w:val="center"/>
          </w:tcPr>
          <w:p w14:paraId="34665BE5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Red. Br.</w:t>
            </w:r>
          </w:p>
        </w:tc>
        <w:tc>
          <w:tcPr>
            <w:tcW w:w="1008" w:type="dxa"/>
            <w:shd w:val="pct5" w:color="auto" w:fill="auto"/>
            <w:vAlign w:val="center"/>
          </w:tcPr>
          <w:p w14:paraId="55E02473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968" w:type="dxa"/>
            <w:shd w:val="pct5" w:color="auto" w:fill="auto"/>
            <w:vAlign w:val="center"/>
          </w:tcPr>
          <w:p w14:paraId="12E33BD4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378" w:type="dxa"/>
            <w:shd w:val="pct5" w:color="auto" w:fill="auto"/>
            <w:vAlign w:val="center"/>
          </w:tcPr>
          <w:p w14:paraId="327AE4A5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936" w:type="dxa"/>
            <w:shd w:val="pct5" w:color="auto" w:fill="auto"/>
            <w:vAlign w:val="center"/>
          </w:tcPr>
          <w:p w14:paraId="2FA2635C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  <w:p w14:paraId="03CA9CF6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glavnice</w:t>
            </w:r>
          </w:p>
        </w:tc>
        <w:tc>
          <w:tcPr>
            <w:tcW w:w="1395" w:type="dxa"/>
            <w:shd w:val="pct5" w:color="auto" w:fill="auto"/>
            <w:vAlign w:val="center"/>
          </w:tcPr>
          <w:p w14:paraId="0EF4495C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Procjena</w:t>
            </w:r>
          </w:p>
          <w:p w14:paraId="4CAF068B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financijskog</w:t>
            </w:r>
          </w:p>
          <w:p w14:paraId="719ADE35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učinka</w:t>
            </w:r>
          </w:p>
        </w:tc>
        <w:tc>
          <w:tcPr>
            <w:tcW w:w="1404" w:type="dxa"/>
            <w:shd w:val="pct5" w:color="auto" w:fill="auto"/>
            <w:vAlign w:val="center"/>
          </w:tcPr>
          <w:p w14:paraId="5D4B7DAE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Procijenjeno vrijeme odljeva</w:t>
            </w:r>
          </w:p>
        </w:tc>
        <w:tc>
          <w:tcPr>
            <w:tcW w:w="1325" w:type="dxa"/>
            <w:shd w:val="pct5" w:color="auto" w:fill="auto"/>
            <w:vAlign w:val="center"/>
          </w:tcPr>
          <w:p w14:paraId="342161BD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DF2A73" w:rsidRPr="00F3038F" w14:paraId="68EEE17E" w14:textId="77777777" w:rsidTr="003B529B">
        <w:trPr>
          <w:trHeight w:val="825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8243D07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5F18F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E7BF" w14:textId="77777777" w:rsidR="00DF2A73" w:rsidRPr="00F3038F" w:rsidRDefault="00DF2A73" w:rsidP="003B529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Cs/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5A55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Tužba radi isplate razlike u plaći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67D0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29.561,81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76FF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9E5C8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11EFF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24.11.2022.</w:t>
            </w:r>
          </w:p>
        </w:tc>
      </w:tr>
      <w:tr w:rsidR="00DF2A73" w:rsidRPr="00F3038F" w14:paraId="3A1C0EEA" w14:textId="77777777" w:rsidTr="003B529B">
        <w:trPr>
          <w:trHeight w:val="567"/>
          <w:jc w:val="center"/>
        </w:trPr>
        <w:tc>
          <w:tcPr>
            <w:tcW w:w="4001" w:type="dxa"/>
            <w:gridSpan w:val="4"/>
            <w:shd w:val="pct5" w:color="auto" w:fill="auto"/>
            <w:vAlign w:val="center"/>
          </w:tcPr>
          <w:p w14:paraId="2F4D9C34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936" w:type="dxa"/>
            <w:shd w:val="pct5" w:color="auto" w:fill="auto"/>
            <w:vAlign w:val="center"/>
          </w:tcPr>
          <w:p w14:paraId="4F6E5347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29.561,81</w:t>
            </w:r>
          </w:p>
        </w:tc>
        <w:tc>
          <w:tcPr>
            <w:tcW w:w="1395" w:type="dxa"/>
            <w:shd w:val="pct5" w:color="auto" w:fill="auto"/>
            <w:vAlign w:val="center"/>
          </w:tcPr>
          <w:p w14:paraId="567DA335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04" w:type="dxa"/>
            <w:shd w:val="pct5" w:color="auto" w:fill="auto"/>
            <w:vAlign w:val="center"/>
          </w:tcPr>
          <w:p w14:paraId="2CEB0EFB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pct5" w:color="auto" w:fill="auto"/>
            <w:vAlign w:val="center"/>
          </w:tcPr>
          <w:p w14:paraId="50AA8E25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AD91B57" w14:textId="77777777" w:rsidR="00244FD5" w:rsidRPr="00DF2A73" w:rsidRDefault="00244FD5" w:rsidP="00244FD5">
      <w:pPr>
        <w:spacing w:line="276" w:lineRule="auto"/>
        <w:ind w:left="708"/>
        <w:jc w:val="both"/>
        <w:rPr>
          <w:bCs/>
          <w:iCs/>
          <w:color w:val="000000" w:themeColor="text1"/>
        </w:rPr>
      </w:pPr>
    </w:p>
    <w:p w14:paraId="05FAC209" w14:textId="506E6A7C" w:rsidR="00244FD5" w:rsidRDefault="00244FD5" w:rsidP="00244FD5">
      <w:pPr>
        <w:spacing w:line="276" w:lineRule="auto"/>
        <w:ind w:left="708"/>
        <w:jc w:val="both"/>
        <w:rPr>
          <w:b/>
          <w:iCs/>
          <w:color w:val="000000" w:themeColor="text1"/>
        </w:rPr>
      </w:pPr>
      <w:r w:rsidRPr="0081061B">
        <w:rPr>
          <w:b/>
          <w:iCs/>
          <w:color w:val="000000" w:themeColor="text1"/>
        </w:rPr>
        <w:t xml:space="preserve">Popis </w:t>
      </w:r>
      <w:r>
        <w:rPr>
          <w:b/>
          <w:iCs/>
          <w:color w:val="000000" w:themeColor="text1"/>
        </w:rPr>
        <w:t>danih instrumenata osiguranja plaćanja</w:t>
      </w:r>
    </w:p>
    <w:p w14:paraId="36F7EAE4" w14:textId="77777777" w:rsidR="00DF2A73" w:rsidRPr="0081061B" w:rsidRDefault="00DF2A73" w:rsidP="00244FD5">
      <w:pPr>
        <w:spacing w:line="276" w:lineRule="auto"/>
        <w:ind w:left="708"/>
        <w:jc w:val="both"/>
        <w:rPr>
          <w:b/>
          <w:iCs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11"/>
        <w:gridCol w:w="1255"/>
        <w:gridCol w:w="1210"/>
        <w:gridCol w:w="1060"/>
        <w:gridCol w:w="1149"/>
        <w:gridCol w:w="1242"/>
        <w:gridCol w:w="1558"/>
        <w:gridCol w:w="977"/>
      </w:tblGrid>
      <w:tr w:rsidR="00DF2A73" w:rsidRPr="00F3038F" w14:paraId="2A8BAFE2" w14:textId="77777777" w:rsidTr="003B529B">
        <w:trPr>
          <w:jc w:val="center"/>
        </w:trPr>
        <w:tc>
          <w:tcPr>
            <w:tcW w:w="562" w:type="dxa"/>
            <w:shd w:val="pct5" w:color="auto" w:fill="auto"/>
            <w:vAlign w:val="center"/>
          </w:tcPr>
          <w:p w14:paraId="1007C462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Red. Br</w:t>
            </w:r>
            <w:r>
              <w:rPr>
                <w:b/>
                <w:color w:val="000000" w:themeColor="text1"/>
                <w:sz w:val="20"/>
                <w:szCs w:val="20"/>
              </w:rPr>
              <w:t>oj</w:t>
            </w:r>
          </w:p>
        </w:tc>
        <w:tc>
          <w:tcPr>
            <w:tcW w:w="1262" w:type="dxa"/>
            <w:shd w:val="pct5" w:color="auto" w:fill="auto"/>
            <w:vAlign w:val="center"/>
          </w:tcPr>
          <w:p w14:paraId="15059881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Datum</w:t>
            </w:r>
          </w:p>
          <w:p w14:paraId="12B8497C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Izdavanja/</w:t>
            </w:r>
          </w:p>
          <w:p w14:paraId="42E7CB80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Primanja</w:t>
            </w:r>
          </w:p>
          <w:p w14:paraId="5176C2D8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jamstva</w:t>
            </w:r>
          </w:p>
        </w:tc>
        <w:tc>
          <w:tcPr>
            <w:tcW w:w="1212" w:type="dxa"/>
            <w:shd w:val="pct5" w:color="auto" w:fill="auto"/>
            <w:vAlign w:val="center"/>
          </w:tcPr>
          <w:p w14:paraId="541DAE09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Instrument</w:t>
            </w:r>
          </w:p>
          <w:p w14:paraId="11AA79BF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Osiguranja</w:t>
            </w:r>
          </w:p>
        </w:tc>
        <w:tc>
          <w:tcPr>
            <w:tcW w:w="1062" w:type="dxa"/>
            <w:shd w:val="pct5" w:color="auto" w:fill="auto"/>
            <w:vAlign w:val="center"/>
          </w:tcPr>
          <w:p w14:paraId="540D4C22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  <w:p w14:paraId="1D2E9396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(eura)</w:t>
            </w:r>
          </w:p>
        </w:tc>
        <w:tc>
          <w:tcPr>
            <w:tcW w:w="1149" w:type="dxa"/>
            <w:shd w:val="pct5" w:color="auto" w:fill="auto"/>
            <w:vAlign w:val="center"/>
          </w:tcPr>
          <w:p w14:paraId="1EE0B62A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Primatelj/</w:t>
            </w:r>
          </w:p>
          <w:p w14:paraId="2DB9267A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davatelj</w:t>
            </w:r>
          </w:p>
        </w:tc>
        <w:tc>
          <w:tcPr>
            <w:tcW w:w="1250" w:type="dxa"/>
            <w:shd w:val="pct5" w:color="auto" w:fill="auto"/>
            <w:vAlign w:val="center"/>
          </w:tcPr>
          <w:p w14:paraId="3305D928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1582" w:type="dxa"/>
            <w:shd w:val="pct5" w:color="auto" w:fill="auto"/>
            <w:vAlign w:val="center"/>
          </w:tcPr>
          <w:p w14:paraId="0268AE46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Dokument</w:t>
            </w:r>
          </w:p>
        </w:tc>
        <w:tc>
          <w:tcPr>
            <w:tcW w:w="983" w:type="dxa"/>
            <w:shd w:val="pct5" w:color="auto" w:fill="auto"/>
            <w:vAlign w:val="center"/>
          </w:tcPr>
          <w:p w14:paraId="04F265A3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Rok</w:t>
            </w:r>
          </w:p>
          <w:p w14:paraId="6231C627" w14:textId="77777777" w:rsidR="00DF2A73" w:rsidRPr="00F3038F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važenja</w:t>
            </w:r>
          </w:p>
        </w:tc>
      </w:tr>
      <w:tr w:rsidR="00DF2A73" w:rsidRPr="00F3038F" w14:paraId="762BF0FC" w14:textId="77777777" w:rsidTr="00044418">
        <w:trPr>
          <w:trHeight w:val="533"/>
          <w:jc w:val="center"/>
        </w:trPr>
        <w:tc>
          <w:tcPr>
            <w:tcW w:w="562" w:type="dxa"/>
            <w:vAlign w:val="center"/>
          </w:tcPr>
          <w:p w14:paraId="4BE746F8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2" w:type="dxa"/>
            <w:vAlign w:val="center"/>
          </w:tcPr>
          <w:p w14:paraId="029A7815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21. 2. 2024.</w:t>
            </w:r>
          </w:p>
        </w:tc>
        <w:tc>
          <w:tcPr>
            <w:tcW w:w="1212" w:type="dxa"/>
            <w:vAlign w:val="center"/>
          </w:tcPr>
          <w:p w14:paraId="7AFD64E3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Zadužnica</w:t>
            </w:r>
          </w:p>
        </w:tc>
        <w:tc>
          <w:tcPr>
            <w:tcW w:w="1062" w:type="dxa"/>
            <w:vAlign w:val="center"/>
          </w:tcPr>
          <w:p w14:paraId="66145F90" w14:textId="77777777" w:rsidR="00DF2A73" w:rsidRPr="00F3038F" w:rsidRDefault="00DF2A73" w:rsidP="003B529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11.000,00</w:t>
            </w:r>
          </w:p>
        </w:tc>
        <w:tc>
          <w:tcPr>
            <w:tcW w:w="1149" w:type="dxa"/>
            <w:vAlign w:val="center"/>
          </w:tcPr>
          <w:p w14:paraId="36A2F4E6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Zagrebačka banka d.d.</w:t>
            </w:r>
          </w:p>
        </w:tc>
        <w:tc>
          <w:tcPr>
            <w:tcW w:w="1250" w:type="dxa"/>
            <w:vAlign w:val="center"/>
          </w:tcPr>
          <w:p w14:paraId="2499F060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Osiguranje plaćanja</w:t>
            </w:r>
          </w:p>
        </w:tc>
        <w:tc>
          <w:tcPr>
            <w:tcW w:w="1582" w:type="dxa"/>
            <w:vAlign w:val="center"/>
          </w:tcPr>
          <w:p w14:paraId="40A75E07" w14:textId="77777777" w:rsidR="00DF2A73" w:rsidRPr="00F3038F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OV-674/2024</w:t>
            </w:r>
          </w:p>
        </w:tc>
        <w:tc>
          <w:tcPr>
            <w:tcW w:w="983" w:type="dxa"/>
            <w:vAlign w:val="center"/>
          </w:tcPr>
          <w:p w14:paraId="6FCF137F" w14:textId="77777777" w:rsidR="00DF2A73" w:rsidRPr="00F3038F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F2A73" w:rsidRPr="00F3038F" w14:paraId="6BBA87E9" w14:textId="77777777" w:rsidTr="00044418">
        <w:trPr>
          <w:trHeight w:val="555"/>
          <w:jc w:val="center"/>
        </w:trPr>
        <w:tc>
          <w:tcPr>
            <w:tcW w:w="3036" w:type="dxa"/>
            <w:gridSpan w:val="3"/>
            <w:shd w:val="clear" w:color="auto" w:fill="F2F2F2" w:themeFill="background1" w:themeFillShade="F2"/>
            <w:vAlign w:val="center"/>
          </w:tcPr>
          <w:p w14:paraId="0EC8EB83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4CFFACB9" w14:textId="77777777" w:rsidR="00DF2A73" w:rsidRPr="00F3038F" w:rsidRDefault="00DF2A73" w:rsidP="003B529B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11.000,00</w:t>
            </w:r>
          </w:p>
        </w:tc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07920E86" w14:textId="77777777" w:rsidR="00DF2A73" w:rsidRPr="00F3038F" w:rsidRDefault="00DF2A73" w:rsidP="003B52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14:paraId="0943F1F1" w14:textId="77777777" w:rsidR="00DF2A73" w:rsidRPr="00F3038F" w:rsidRDefault="00DF2A73" w:rsidP="003B52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EA55410" w14:textId="77777777" w:rsidR="00DF2A73" w:rsidRPr="00F3038F" w:rsidRDefault="00DF2A73" w:rsidP="003B52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7796B569" w14:textId="77777777" w:rsidR="00DF2A73" w:rsidRPr="00F3038F" w:rsidRDefault="00DF2A73" w:rsidP="003B529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DB42EDA" w14:textId="043BFAD1" w:rsidR="00DF2A73" w:rsidRPr="0081061B" w:rsidRDefault="00244FD5" w:rsidP="00244FD5">
      <w:pPr>
        <w:pStyle w:val="Odlomakpopisa"/>
        <w:spacing w:line="276" w:lineRule="auto"/>
        <w:ind w:left="720"/>
        <w:rPr>
          <w:b/>
          <w:bCs/>
          <w:color w:val="000000" w:themeColor="text1"/>
        </w:rPr>
      </w:pPr>
      <w:r w:rsidRPr="0081061B">
        <w:rPr>
          <w:b/>
          <w:bCs/>
          <w:color w:val="000000" w:themeColor="text1"/>
        </w:rPr>
        <w:lastRenderedPageBreak/>
        <w:t>Popis tuđe imovine dobivene na korištenje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611"/>
        <w:gridCol w:w="2530"/>
        <w:gridCol w:w="1366"/>
        <w:gridCol w:w="2859"/>
        <w:gridCol w:w="1701"/>
      </w:tblGrid>
      <w:tr w:rsidR="00DF2A73" w:rsidRPr="00D07BCA" w14:paraId="07911AD8" w14:textId="77777777" w:rsidTr="003B529B">
        <w:trPr>
          <w:trHeight w:val="605"/>
          <w:jc w:val="center"/>
        </w:trPr>
        <w:tc>
          <w:tcPr>
            <w:tcW w:w="611" w:type="dxa"/>
            <w:shd w:val="pct5" w:color="auto" w:fill="auto"/>
            <w:vAlign w:val="center"/>
          </w:tcPr>
          <w:p w14:paraId="533757EF" w14:textId="77777777" w:rsidR="00DF2A73" w:rsidRPr="00D07BCA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7BCA">
              <w:rPr>
                <w:b/>
                <w:color w:val="000000" w:themeColor="text1"/>
                <w:sz w:val="20"/>
                <w:szCs w:val="20"/>
              </w:rPr>
              <w:t>Red. Br</w:t>
            </w:r>
            <w:r>
              <w:rPr>
                <w:b/>
                <w:color w:val="000000" w:themeColor="text1"/>
                <w:sz w:val="20"/>
                <w:szCs w:val="20"/>
              </w:rPr>
              <w:t>oj</w:t>
            </w:r>
          </w:p>
        </w:tc>
        <w:tc>
          <w:tcPr>
            <w:tcW w:w="2530" w:type="dxa"/>
            <w:shd w:val="pct5" w:color="auto" w:fill="auto"/>
            <w:vAlign w:val="center"/>
          </w:tcPr>
          <w:p w14:paraId="0D354A9D" w14:textId="77777777" w:rsidR="00DF2A73" w:rsidRPr="00D07BCA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7BCA">
              <w:rPr>
                <w:b/>
                <w:color w:val="000000" w:themeColor="text1"/>
                <w:sz w:val="20"/>
                <w:szCs w:val="20"/>
              </w:rPr>
              <w:t>Opis imovine</w:t>
            </w:r>
          </w:p>
        </w:tc>
        <w:tc>
          <w:tcPr>
            <w:tcW w:w="1366" w:type="dxa"/>
            <w:shd w:val="pct5" w:color="auto" w:fill="auto"/>
            <w:vAlign w:val="center"/>
          </w:tcPr>
          <w:p w14:paraId="507C13E5" w14:textId="77777777" w:rsidR="00DF2A73" w:rsidRPr="00D07BCA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7BCA">
              <w:rPr>
                <w:b/>
                <w:color w:val="000000" w:themeColor="text1"/>
                <w:sz w:val="20"/>
                <w:szCs w:val="20"/>
              </w:rPr>
              <w:t>Vrijednost</w:t>
            </w:r>
          </w:p>
        </w:tc>
        <w:tc>
          <w:tcPr>
            <w:tcW w:w="2859" w:type="dxa"/>
            <w:shd w:val="pct5" w:color="auto" w:fill="auto"/>
            <w:vAlign w:val="center"/>
          </w:tcPr>
          <w:p w14:paraId="43140E22" w14:textId="77777777" w:rsidR="00DF2A73" w:rsidRPr="00D07BCA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7BCA">
              <w:rPr>
                <w:b/>
                <w:color w:val="000000" w:themeColor="text1"/>
                <w:sz w:val="20"/>
                <w:szCs w:val="20"/>
              </w:rPr>
              <w:t>Dokument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736F154D" w14:textId="77777777" w:rsidR="00DF2A73" w:rsidRPr="00D07BCA" w:rsidRDefault="00DF2A73" w:rsidP="003B52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7BCA">
              <w:rPr>
                <w:b/>
                <w:color w:val="000000" w:themeColor="text1"/>
                <w:sz w:val="20"/>
                <w:szCs w:val="20"/>
              </w:rPr>
              <w:t>Napomena</w:t>
            </w:r>
          </w:p>
        </w:tc>
      </w:tr>
      <w:tr w:rsidR="00DF2A73" w:rsidRPr="00D07BCA" w14:paraId="20671A04" w14:textId="77777777" w:rsidTr="003B529B">
        <w:trPr>
          <w:trHeight w:val="557"/>
          <w:jc w:val="center"/>
        </w:trPr>
        <w:tc>
          <w:tcPr>
            <w:tcW w:w="611" w:type="dxa"/>
            <w:vAlign w:val="center"/>
          </w:tcPr>
          <w:p w14:paraId="64BF8B49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30" w:type="dxa"/>
            <w:vAlign w:val="center"/>
          </w:tcPr>
          <w:p w14:paraId="234F5FEA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 xml:space="preserve">Zgrada br. 6 </w:t>
            </w:r>
          </w:p>
          <w:p w14:paraId="371F592B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 xml:space="preserve">Sveučilišni </w:t>
            </w:r>
            <w:proofErr w:type="spellStart"/>
            <w:r w:rsidRPr="00D07BCA">
              <w:rPr>
                <w:color w:val="000000" w:themeColor="text1"/>
                <w:sz w:val="20"/>
                <w:szCs w:val="20"/>
              </w:rPr>
              <w:t>campus</w:t>
            </w:r>
            <w:proofErr w:type="spellEnd"/>
          </w:p>
        </w:tc>
        <w:tc>
          <w:tcPr>
            <w:tcW w:w="1366" w:type="dxa"/>
            <w:vAlign w:val="center"/>
          </w:tcPr>
          <w:p w14:paraId="48AC9333" w14:textId="77777777" w:rsidR="00DF2A73" w:rsidRPr="00D07BCA" w:rsidRDefault="00DF2A73" w:rsidP="003B529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1.621.653,67</w:t>
            </w:r>
          </w:p>
        </w:tc>
        <w:tc>
          <w:tcPr>
            <w:tcW w:w="2859" w:type="dxa"/>
            <w:vAlign w:val="center"/>
          </w:tcPr>
          <w:p w14:paraId="1F97D76F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KLASA: 406-01/13-01/4, URBROJ: 2158-158-01-13-2</w:t>
            </w:r>
          </w:p>
        </w:tc>
        <w:tc>
          <w:tcPr>
            <w:tcW w:w="1701" w:type="dxa"/>
            <w:vAlign w:val="center"/>
          </w:tcPr>
          <w:p w14:paraId="1F3070E1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F2A73" w:rsidRPr="00D07BCA" w14:paraId="0D509327" w14:textId="77777777" w:rsidTr="003B529B">
        <w:trPr>
          <w:trHeight w:val="552"/>
          <w:jc w:val="center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E5DE0B9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282E7CE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 xml:space="preserve">Zgrada br. 9 </w:t>
            </w:r>
          </w:p>
          <w:p w14:paraId="5303B86E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 xml:space="preserve">Sveučilišni </w:t>
            </w:r>
            <w:proofErr w:type="spellStart"/>
            <w:r w:rsidRPr="00D07BCA">
              <w:rPr>
                <w:color w:val="000000" w:themeColor="text1"/>
                <w:sz w:val="20"/>
                <w:szCs w:val="20"/>
              </w:rPr>
              <w:t>campus</w:t>
            </w:r>
            <w:proofErr w:type="spellEnd"/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50C731B2" w14:textId="77777777" w:rsidR="00DF2A73" w:rsidRPr="00D07BCA" w:rsidRDefault="00DF2A73" w:rsidP="003B529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5.029.115,28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04CA5C6C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KLASA: 406-01/13-01/4, URBROJ: 2158-158-01-13-2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485E25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F2A73" w:rsidRPr="00D07BCA" w14:paraId="41F79F2F" w14:textId="77777777" w:rsidTr="003B529B">
        <w:trPr>
          <w:trHeight w:val="613"/>
          <w:jc w:val="center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6729ED3F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E7F7EED" w14:textId="77777777" w:rsidR="00DF2A73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Zgrada br. 318 m2</w:t>
            </w:r>
          </w:p>
          <w:p w14:paraId="0C35194D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Sveučilišni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campus</w:t>
            </w:r>
            <w:proofErr w:type="spellEnd"/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6C185239" w14:textId="77777777" w:rsidR="00DF2A73" w:rsidRDefault="00DF2A73" w:rsidP="003B529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53.895,66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7C1737D5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KLASA: 406-01/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D07BCA">
              <w:rPr>
                <w:color w:val="000000" w:themeColor="text1"/>
                <w:sz w:val="20"/>
                <w:szCs w:val="20"/>
              </w:rPr>
              <w:t>-01/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D07BCA">
              <w:rPr>
                <w:color w:val="000000" w:themeColor="text1"/>
                <w:sz w:val="20"/>
                <w:szCs w:val="20"/>
              </w:rPr>
              <w:t>, URBROJ: 2158-</w:t>
            </w:r>
            <w:r>
              <w:rPr>
                <w:color w:val="000000" w:themeColor="text1"/>
                <w:sz w:val="20"/>
                <w:szCs w:val="20"/>
              </w:rPr>
              <w:t>63</w:t>
            </w:r>
            <w:r w:rsidRPr="00D07BCA">
              <w:rPr>
                <w:color w:val="000000" w:themeColor="text1"/>
                <w:sz w:val="20"/>
                <w:szCs w:val="20"/>
              </w:rPr>
              <w:t>-01-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D07BCA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C5F292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F2A73" w:rsidRPr="00D07BCA" w14:paraId="3DB4E67B" w14:textId="77777777" w:rsidTr="003B529B">
        <w:trPr>
          <w:trHeight w:val="563"/>
          <w:jc w:val="center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53A2A73D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21F6AED9" w14:textId="77777777" w:rsidR="00DF2A73" w:rsidRPr="00D07BCA" w:rsidRDefault="00DF2A73" w:rsidP="003B52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Integralni studio za samostalno snimanje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0F9E6C96" w14:textId="77777777" w:rsidR="00DF2A73" w:rsidRDefault="00DF2A73" w:rsidP="003B529B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7.500,00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4BB88158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7BCA">
              <w:rPr>
                <w:color w:val="000000" w:themeColor="text1"/>
                <w:sz w:val="20"/>
                <w:szCs w:val="20"/>
              </w:rPr>
              <w:t>KLASA: 406-01/1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07BCA">
              <w:rPr>
                <w:color w:val="000000" w:themeColor="text1"/>
                <w:sz w:val="20"/>
                <w:szCs w:val="20"/>
              </w:rPr>
              <w:t>-01/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D07BCA">
              <w:rPr>
                <w:color w:val="000000" w:themeColor="text1"/>
                <w:sz w:val="20"/>
                <w:szCs w:val="20"/>
              </w:rPr>
              <w:t xml:space="preserve">4, URBROJ: </w:t>
            </w:r>
            <w:r>
              <w:rPr>
                <w:color w:val="000000" w:themeColor="text1"/>
                <w:sz w:val="20"/>
                <w:szCs w:val="20"/>
              </w:rPr>
              <w:t>313-04-24-02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6F86C" w14:textId="77777777" w:rsidR="00DF2A73" w:rsidRPr="00D07BCA" w:rsidRDefault="00DF2A73" w:rsidP="003B529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F2A73" w:rsidRPr="00F3038F" w14:paraId="211B4DB1" w14:textId="77777777" w:rsidTr="003B529B">
        <w:trPr>
          <w:trHeight w:val="528"/>
          <w:jc w:val="center"/>
        </w:trPr>
        <w:tc>
          <w:tcPr>
            <w:tcW w:w="3141" w:type="dxa"/>
            <w:gridSpan w:val="2"/>
            <w:shd w:val="pct5" w:color="auto" w:fill="auto"/>
            <w:vAlign w:val="center"/>
          </w:tcPr>
          <w:p w14:paraId="5FFACCB5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1366" w:type="dxa"/>
            <w:shd w:val="pct5" w:color="auto" w:fill="auto"/>
            <w:vAlign w:val="center"/>
          </w:tcPr>
          <w:p w14:paraId="338C23AE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6.712.164,61</w:t>
            </w:r>
          </w:p>
        </w:tc>
        <w:tc>
          <w:tcPr>
            <w:tcW w:w="2859" w:type="dxa"/>
            <w:shd w:val="pct5" w:color="auto" w:fill="auto"/>
            <w:vAlign w:val="center"/>
          </w:tcPr>
          <w:p w14:paraId="2241A194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4AE07CA9" w14:textId="77777777" w:rsidR="00DF2A73" w:rsidRPr="00F3038F" w:rsidRDefault="00DF2A73" w:rsidP="003B529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4498DBCC" w14:textId="77777777" w:rsidR="00244FD5" w:rsidRDefault="00244FD5" w:rsidP="00DA36B8">
      <w:pPr>
        <w:spacing w:line="360" w:lineRule="auto"/>
        <w:jc w:val="both"/>
      </w:pPr>
    </w:p>
    <w:p w14:paraId="41220E1D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RAS-funkcijski</w:t>
      </w:r>
    </w:p>
    <w:p w14:paraId="37B6DE19" w14:textId="57760D4C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ŠIFRA 09 – u izvještajnom obrascu prikazani su rashodi i izdaci za obrazovanje prema funkcijskoj klasifikaciji, rashodi i izdaci su prikazani na način da su razvrstani prema stupnju visoke naobrazbe, a posebno su izdvojeni rashodi i izdaci za istraživanje i razvoj</w:t>
      </w:r>
      <w:r w:rsidR="00050AAC">
        <w:rPr>
          <w:color w:val="000000" w:themeColor="text1"/>
        </w:rPr>
        <w:t xml:space="preserve">, ukupan indeks povećanja tekućega izvještajnog razdoblja u odnosu na prethodno izvještajno razdoblje rezultat je povećanja rashoda poslovanja i rashoda za nabavu nefinancijske imovine, detaljnije obrazloženje ovih pozicija može se vidjeti u </w:t>
      </w:r>
      <w:r w:rsidR="00AC593F">
        <w:rPr>
          <w:color w:val="000000" w:themeColor="text1"/>
        </w:rPr>
        <w:t>bilješkama uz obrazac PR-RAS</w:t>
      </w:r>
    </w:p>
    <w:p w14:paraId="7D73498F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</w:p>
    <w:p w14:paraId="4AD9E30B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P-VRIO</w:t>
      </w:r>
    </w:p>
    <w:p w14:paraId="053C7D87" w14:textId="57B8BD81" w:rsidR="00C861F0" w:rsidRDefault="00C861F0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 P003 – ostvareno smanjenje proizvedene dugotrajne imovine odnosi se na umanjenje sadašnje vrijednosti imovine sukladno prijedlogu popisnog povjerenstva za rashod proizvedene dugotrajne imovine na dan 31. 12. 202</w:t>
      </w:r>
      <w:r w:rsidR="00397C8E">
        <w:rPr>
          <w:color w:val="000000" w:themeColor="text1"/>
        </w:rPr>
        <w:t>4</w:t>
      </w:r>
      <w:r>
        <w:rPr>
          <w:color w:val="000000" w:themeColor="text1"/>
        </w:rPr>
        <w:t>. godine</w:t>
      </w:r>
    </w:p>
    <w:p w14:paraId="654ADE38" w14:textId="77777777" w:rsidR="00DF2A73" w:rsidRDefault="00DF2A73" w:rsidP="00DA36B8">
      <w:pPr>
        <w:spacing w:line="360" w:lineRule="auto"/>
        <w:jc w:val="both"/>
        <w:rPr>
          <w:color w:val="000000" w:themeColor="text1"/>
        </w:rPr>
      </w:pPr>
    </w:p>
    <w:p w14:paraId="7C63A233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OBVEZE</w:t>
      </w:r>
    </w:p>
    <w:p w14:paraId="198115EC" w14:textId="53D3044B" w:rsidR="00DA36B8" w:rsidRDefault="00DA36B8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ŠIFRA V006 – </w:t>
      </w:r>
      <w:r w:rsidR="00AC593F">
        <w:rPr>
          <w:color w:val="000000" w:themeColor="text1"/>
        </w:rPr>
        <w:t>usporedbom stanja obveza na početku i na kraju izvještajnog razdoblja može se vidjeti da su obveze povećane, povećanje je rezultat povećanja obveza za zaposlene</w:t>
      </w:r>
      <w:r w:rsidR="0081061B">
        <w:rPr>
          <w:color w:val="000000" w:themeColor="text1"/>
        </w:rPr>
        <w:t>, t</w:t>
      </w:r>
      <w:r>
        <w:rPr>
          <w:color w:val="000000" w:themeColor="text1"/>
        </w:rPr>
        <w:t>ijekom izvještajnog razdoblja</w:t>
      </w:r>
      <w:r w:rsidR="00397C8E">
        <w:rPr>
          <w:color w:val="000000" w:themeColor="text1"/>
        </w:rPr>
        <w:t>,</w:t>
      </w:r>
      <w:r>
        <w:rPr>
          <w:color w:val="000000" w:themeColor="text1"/>
        </w:rPr>
        <w:t xml:space="preserve"> zadržan </w:t>
      </w:r>
      <w:r w:rsidR="00A768A4">
        <w:rPr>
          <w:color w:val="000000" w:themeColor="text1"/>
        </w:rPr>
        <w:t xml:space="preserve">je </w:t>
      </w:r>
      <w:r>
        <w:rPr>
          <w:color w:val="000000" w:themeColor="text1"/>
        </w:rPr>
        <w:t>kontinuitet podmirenja preuzetih obveza, preuzete obveze izvršavaju se na vrijeme, nema dospjelih obveza,</w:t>
      </w:r>
      <w:r w:rsidR="00A768A4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za preuzete obveze osigurani su prihodi za podmirenje istih</w:t>
      </w:r>
    </w:p>
    <w:p w14:paraId="00908EB6" w14:textId="44BF869A" w:rsidR="0081061B" w:rsidRDefault="0081061B" w:rsidP="00DA36B8">
      <w:pPr>
        <w:spacing w:line="360" w:lineRule="auto"/>
        <w:jc w:val="both"/>
        <w:rPr>
          <w:color w:val="000000" w:themeColor="text1"/>
        </w:rPr>
      </w:pPr>
    </w:p>
    <w:p w14:paraId="3AB7C1EE" w14:textId="4002E190" w:rsidR="00A768A4" w:rsidRDefault="00A768A4" w:rsidP="00A768A4">
      <w:pPr>
        <w:spacing w:line="276" w:lineRule="auto"/>
        <w:ind w:left="5664" w:firstLine="708"/>
        <w:jc w:val="both"/>
        <w:rPr>
          <w:b/>
          <w:color w:val="000000" w:themeColor="text1"/>
        </w:rPr>
      </w:pPr>
    </w:p>
    <w:p w14:paraId="0789CCB6" w14:textId="0C11C9B1" w:rsidR="00DA36B8" w:rsidRDefault="00DA36B8" w:rsidP="00DA36B8">
      <w:pPr>
        <w:spacing w:line="360" w:lineRule="auto"/>
        <w:ind w:left="5664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DEKANICA</w:t>
      </w:r>
    </w:p>
    <w:p w14:paraId="217353C2" w14:textId="77777777" w:rsidR="00DF2A73" w:rsidRDefault="00DF2A73" w:rsidP="00DA36B8">
      <w:pPr>
        <w:spacing w:line="360" w:lineRule="auto"/>
        <w:ind w:left="5664" w:firstLine="708"/>
        <w:jc w:val="both"/>
        <w:rPr>
          <w:b/>
          <w:color w:val="000000" w:themeColor="text1"/>
        </w:rPr>
      </w:pPr>
    </w:p>
    <w:p w14:paraId="0A3C2DD3" w14:textId="36978C05" w:rsidR="00B0354C" w:rsidRDefault="00DA36B8" w:rsidP="00A768A4">
      <w:pPr>
        <w:spacing w:line="360" w:lineRule="auto"/>
        <w:ind w:left="4956" w:firstLine="708"/>
        <w:jc w:val="both"/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color w:val="000000" w:themeColor="text1"/>
        </w:rPr>
        <w:t xml:space="preserve">prof. dr. sc. Emina </w:t>
      </w:r>
      <w:proofErr w:type="spellStart"/>
      <w:r>
        <w:rPr>
          <w:color w:val="000000" w:themeColor="text1"/>
        </w:rPr>
        <w:t>Berbić</w:t>
      </w:r>
      <w:proofErr w:type="spellEnd"/>
      <w:r>
        <w:rPr>
          <w:color w:val="000000" w:themeColor="text1"/>
        </w:rPr>
        <w:t xml:space="preserve"> Kolar</w:t>
      </w:r>
    </w:p>
    <w:sectPr w:rsidR="00B035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D93A" w14:textId="77777777" w:rsidR="00F9754A" w:rsidRDefault="00F9754A" w:rsidP="00A768A4">
      <w:r>
        <w:separator/>
      </w:r>
    </w:p>
  </w:endnote>
  <w:endnote w:type="continuationSeparator" w:id="0">
    <w:p w14:paraId="7E466E2B" w14:textId="77777777" w:rsidR="00F9754A" w:rsidRDefault="00F9754A" w:rsidP="00A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11491"/>
      <w:docPartObj>
        <w:docPartGallery w:val="Page Numbers (Bottom of Page)"/>
        <w:docPartUnique/>
      </w:docPartObj>
    </w:sdtPr>
    <w:sdtContent>
      <w:p w14:paraId="2BBA26CC" w14:textId="07DE3EA9" w:rsidR="00A768A4" w:rsidRDefault="00A768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8563D" w14:textId="77777777" w:rsidR="00A768A4" w:rsidRDefault="00A768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E53B" w14:textId="77777777" w:rsidR="00F9754A" w:rsidRDefault="00F9754A" w:rsidP="00A768A4">
      <w:r>
        <w:separator/>
      </w:r>
    </w:p>
  </w:footnote>
  <w:footnote w:type="continuationSeparator" w:id="0">
    <w:p w14:paraId="6F008539" w14:textId="77777777" w:rsidR="00F9754A" w:rsidRDefault="00F9754A" w:rsidP="00A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CD"/>
    <w:multiLevelType w:val="hybridMultilevel"/>
    <w:tmpl w:val="6536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51B9"/>
    <w:multiLevelType w:val="hybridMultilevel"/>
    <w:tmpl w:val="8410C550"/>
    <w:lvl w:ilvl="0" w:tplc="FC32C3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268BB"/>
    <w:multiLevelType w:val="hybridMultilevel"/>
    <w:tmpl w:val="0D409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6EEE"/>
    <w:multiLevelType w:val="hybridMultilevel"/>
    <w:tmpl w:val="F4667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6530"/>
    <w:multiLevelType w:val="hybridMultilevel"/>
    <w:tmpl w:val="F5928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0420D"/>
    <w:rsid w:val="0004027B"/>
    <w:rsid w:val="00044418"/>
    <w:rsid w:val="00050AAC"/>
    <w:rsid w:val="000808ED"/>
    <w:rsid w:val="00084783"/>
    <w:rsid w:val="000D1861"/>
    <w:rsid w:val="00106F6B"/>
    <w:rsid w:val="001E769B"/>
    <w:rsid w:val="00244FD5"/>
    <w:rsid w:val="002F3143"/>
    <w:rsid w:val="003005D2"/>
    <w:rsid w:val="00331983"/>
    <w:rsid w:val="00343D51"/>
    <w:rsid w:val="00364435"/>
    <w:rsid w:val="00397C8E"/>
    <w:rsid w:val="003B529B"/>
    <w:rsid w:val="004021C8"/>
    <w:rsid w:val="00455006"/>
    <w:rsid w:val="004A3A34"/>
    <w:rsid w:val="004F2B41"/>
    <w:rsid w:val="00627D69"/>
    <w:rsid w:val="006A603F"/>
    <w:rsid w:val="007072C4"/>
    <w:rsid w:val="00723C56"/>
    <w:rsid w:val="0077072D"/>
    <w:rsid w:val="007C42EA"/>
    <w:rsid w:val="007D0038"/>
    <w:rsid w:val="0081061B"/>
    <w:rsid w:val="00894CCC"/>
    <w:rsid w:val="008B75AE"/>
    <w:rsid w:val="00932E7A"/>
    <w:rsid w:val="00973D9E"/>
    <w:rsid w:val="009E036E"/>
    <w:rsid w:val="00A53F45"/>
    <w:rsid w:val="00A6496F"/>
    <w:rsid w:val="00A768A4"/>
    <w:rsid w:val="00AC593F"/>
    <w:rsid w:val="00B0354C"/>
    <w:rsid w:val="00C25E46"/>
    <w:rsid w:val="00C43BB3"/>
    <w:rsid w:val="00C861F0"/>
    <w:rsid w:val="00CB50A2"/>
    <w:rsid w:val="00DA36B8"/>
    <w:rsid w:val="00DA557F"/>
    <w:rsid w:val="00DF2A73"/>
    <w:rsid w:val="00EA755B"/>
    <w:rsid w:val="00EC6517"/>
    <w:rsid w:val="00ED0E2D"/>
    <w:rsid w:val="00EE2170"/>
    <w:rsid w:val="00F5696E"/>
    <w:rsid w:val="00F658ED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C97"/>
  <w15:chartTrackingRefBased/>
  <w15:docId w15:val="{DA1C42D1-15BF-4C30-8E79-ED8349B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uiPriority w:val="39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72C4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72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2C4"/>
    <w:rPr>
      <w:rFonts w:ascii="Segoe UI" w:eastAsia="Times New Roman" w:hAnsi="Segoe UI" w:cs="Segoe UI"/>
      <w:sz w:val="18"/>
      <w:szCs w:val="18"/>
      <w:lang w:eastAsia="hr-HR"/>
    </w:rPr>
  </w:style>
  <w:style w:type="character" w:styleId="Naslovknjige">
    <w:name w:val="Book Title"/>
    <w:uiPriority w:val="33"/>
    <w:qFormat/>
    <w:rsid w:val="00343D51"/>
    <w:rPr>
      <w:b/>
      <w:bCs/>
      <w:smallCaps/>
      <w:spacing w:val="5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43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43D51"/>
    <w:rPr>
      <w:rFonts w:ascii="Courier New" w:eastAsia="Times New Roman" w:hAnsi="Courier New" w:cs="Courier New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pdesk@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rajina@foo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A666-43C5-4207-9C25-3BE3798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1</cp:revision>
  <cp:lastPrinted>2025-01-31T09:07:00Z</cp:lastPrinted>
  <dcterms:created xsi:type="dcterms:W3CDTF">2023-04-26T07:15:00Z</dcterms:created>
  <dcterms:modified xsi:type="dcterms:W3CDTF">2025-01-31T09:58:00Z</dcterms:modified>
</cp:coreProperties>
</file>