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0354C" w14:paraId="78FE547C" w14:textId="77777777" w:rsidTr="00B0354C">
        <w:tc>
          <w:tcPr>
            <w:tcW w:w="3539" w:type="dxa"/>
          </w:tcPr>
          <w:p w14:paraId="59D31774" w14:textId="77777777" w:rsidR="00B0354C" w:rsidRDefault="00B0354C" w:rsidP="00B0354C">
            <w:pPr>
              <w:ind w:left="-115"/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906D8AB" wp14:editId="16B313C1">
                  <wp:extent cx="2165389" cy="650152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r="2412" b="11165"/>
                          <a:stretch/>
                        </pic:blipFill>
                        <pic:spPr bwMode="auto">
                          <a:xfrm>
                            <a:off x="0" y="0"/>
                            <a:ext cx="2269440" cy="6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12379290" w14:textId="77777777" w:rsidR="00B0354C" w:rsidRDefault="00B0354C" w:rsidP="00B0354C"/>
        </w:tc>
      </w:tr>
    </w:tbl>
    <w:p w14:paraId="4FFBFF6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t xml:space="preserve">              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14:paraId="1181CAB1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31000 Osijek, Ulica cara </w:t>
      </w:r>
      <w:proofErr w:type="spellStart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Hadrijana</w:t>
      </w:r>
      <w:proofErr w:type="spellEnd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 10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+385 31 321 700 ▪ helpdesk@foozos.hr ▪ www.foozos.hr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</w:p>
    <w:p w14:paraId="3B49AB9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OIB: 28082679513 ▪ MB: 14048</w:t>
      </w:r>
      <w:r w:rsidR="00D77DB2">
        <w:rPr>
          <w:rFonts w:asciiTheme="minorHAnsi" w:hAnsiTheme="minorHAnsi" w:cstheme="minorHAnsi"/>
          <w:color w:val="7F7F7F" w:themeColor="text1" w:themeTint="80"/>
          <w:sz w:val="14"/>
        </w:rPr>
        <w:t>81 ▪ IBAN: HR0823600001103081122</w:t>
      </w:r>
    </w:p>
    <w:p w14:paraId="144877AE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713BD945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200B1006" w14:textId="2DC7ACAA" w:rsidR="009D31E6" w:rsidRPr="0055222B" w:rsidRDefault="009D31E6" w:rsidP="009D31E6">
      <w:pPr>
        <w:ind w:right="74"/>
      </w:pPr>
      <w:r w:rsidRPr="0055222B">
        <w:t>KLASA: 402-01/2</w:t>
      </w:r>
      <w:r w:rsidR="00DD583D" w:rsidRPr="0055222B">
        <w:t>5</w:t>
      </w:r>
      <w:r w:rsidR="00315213" w:rsidRPr="0055222B">
        <w:t>-01/</w:t>
      </w:r>
      <w:r w:rsidR="00DD583D" w:rsidRPr="0055222B">
        <w:t>12</w:t>
      </w:r>
    </w:p>
    <w:p w14:paraId="637275A4" w14:textId="6A8CD1B1" w:rsidR="009D31E6" w:rsidRPr="0055222B" w:rsidRDefault="009D31E6" w:rsidP="009D31E6">
      <w:pPr>
        <w:spacing w:before="20" w:after="20"/>
        <w:ind w:right="23"/>
      </w:pPr>
      <w:r w:rsidRPr="0055222B">
        <w:t>URBROJ: 2158-63-0</w:t>
      </w:r>
      <w:r w:rsidR="007229B7" w:rsidRPr="0055222B">
        <w:t>1</w:t>
      </w:r>
      <w:r w:rsidRPr="0055222B">
        <w:t>-2</w:t>
      </w:r>
      <w:r w:rsidR="00DD583D" w:rsidRPr="0055222B">
        <w:t>5</w:t>
      </w:r>
      <w:r w:rsidRPr="0055222B">
        <w:t>-0</w:t>
      </w:r>
      <w:r w:rsidR="009F1F5A" w:rsidRPr="0055222B">
        <w:t>2</w:t>
      </w:r>
    </w:p>
    <w:p w14:paraId="6B04B849" w14:textId="77777777" w:rsidR="009D31E6" w:rsidRPr="0055222B" w:rsidRDefault="009D31E6" w:rsidP="009D31E6">
      <w:pPr>
        <w:spacing w:before="20" w:after="20"/>
        <w:ind w:right="23"/>
      </w:pPr>
    </w:p>
    <w:p w14:paraId="2F1EAC53" w14:textId="618A72FF" w:rsidR="009D31E6" w:rsidRPr="0055222B" w:rsidRDefault="009D31E6" w:rsidP="009D31E6">
      <w:pPr>
        <w:spacing w:before="20" w:after="20"/>
        <w:ind w:right="23"/>
      </w:pPr>
      <w:r w:rsidRPr="0055222B">
        <w:t xml:space="preserve">Osijek, </w:t>
      </w:r>
      <w:r w:rsidR="00F4413D" w:rsidRPr="0055222B">
        <w:t>3</w:t>
      </w:r>
      <w:r w:rsidRPr="0055222B">
        <w:t xml:space="preserve">. </w:t>
      </w:r>
      <w:r w:rsidR="00F4413D" w:rsidRPr="0055222B">
        <w:t>ožujka</w:t>
      </w:r>
      <w:r w:rsidRPr="0055222B">
        <w:t xml:space="preserve"> 202</w:t>
      </w:r>
      <w:r w:rsidR="00F4413D" w:rsidRPr="0055222B">
        <w:t>5</w:t>
      </w:r>
      <w:r w:rsidRPr="0055222B">
        <w:t>.</w:t>
      </w:r>
    </w:p>
    <w:p w14:paraId="536CA892" w14:textId="77777777" w:rsidR="00DD583D" w:rsidRPr="0055222B" w:rsidRDefault="00DD583D" w:rsidP="00310ADE">
      <w:pPr>
        <w:rPr>
          <w:b/>
        </w:rPr>
      </w:pPr>
    </w:p>
    <w:p w14:paraId="33062B5B" w14:textId="69666EED" w:rsidR="00084A0D" w:rsidRPr="0055222B" w:rsidRDefault="00084A0D" w:rsidP="00310ADE">
      <w:r w:rsidRPr="0055222B">
        <w:rPr>
          <w:b/>
        </w:rPr>
        <w:t>PRORAČUNSKI KORISNIK:</w:t>
      </w:r>
      <w:r w:rsidRPr="0055222B">
        <w:t xml:space="preserve"> SVEUČILIŠTE JOSIPA JURJA STROSSMAYERA U OSIJEKU</w:t>
      </w:r>
      <w:r w:rsidR="002B0352">
        <w:t>,</w:t>
      </w:r>
      <w:r w:rsidRPr="0055222B">
        <w:t xml:space="preserve"> FAKULTET ZA ODGOJNE I OBRAZOVNE ZNANOSTI</w:t>
      </w:r>
    </w:p>
    <w:p w14:paraId="0EB9FF94" w14:textId="77777777" w:rsidR="00084A0D" w:rsidRPr="0055222B" w:rsidRDefault="00084A0D" w:rsidP="00310ADE">
      <w:r w:rsidRPr="0055222B">
        <w:rPr>
          <w:b/>
        </w:rPr>
        <w:t>NADLEŽNO MINISTARSTVO:</w:t>
      </w:r>
      <w:r w:rsidRPr="0055222B">
        <w:t xml:space="preserve"> MINISTARSTVO ZNANOSTI, OBRAZOVANJA I MLADIH</w:t>
      </w:r>
    </w:p>
    <w:p w14:paraId="108E891D" w14:textId="77777777" w:rsidR="00084A0D" w:rsidRPr="0055222B" w:rsidRDefault="00084A0D" w:rsidP="00310ADE">
      <w:r w:rsidRPr="0055222B">
        <w:rPr>
          <w:b/>
        </w:rPr>
        <w:t>OIB:</w:t>
      </w:r>
      <w:r w:rsidRPr="0055222B">
        <w:t xml:space="preserve"> 28082679513</w:t>
      </w:r>
    </w:p>
    <w:p w14:paraId="472EE7CA" w14:textId="77777777" w:rsidR="00084A0D" w:rsidRPr="0055222B" w:rsidRDefault="00084A0D" w:rsidP="00310ADE">
      <w:r w:rsidRPr="0055222B">
        <w:rPr>
          <w:b/>
        </w:rPr>
        <w:t>RAZINA:</w:t>
      </w:r>
      <w:r w:rsidRPr="0055222B">
        <w:t xml:space="preserve"> 11</w:t>
      </w:r>
    </w:p>
    <w:p w14:paraId="6D7F0A72" w14:textId="77777777" w:rsidR="00084A0D" w:rsidRPr="0055222B" w:rsidRDefault="00084A0D" w:rsidP="00310ADE">
      <w:r w:rsidRPr="0055222B">
        <w:rPr>
          <w:b/>
        </w:rPr>
        <w:t xml:space="preserve">ŠIFRA DJELATNOSTI: </w:t>
      </w:r>
      <w:r w:rsidRPr="0055222B">
        <w:t>8542</w:t>
      </w:r>
    </w:p>
    <w:p w14:paraId="3DC09DFE" w14:textId="77777777" w:rsidR="00084A0D" w:rsidRPr="0055222B" w:rsidRDefault="00084A0D" w:rsidP="00310ADE">
      <w:r w:rsidRPr="0055222B">
        <w:rPr>
          <w:b/>
        </w:rPr>
        <w:t>RKP:</w:t>
      </w:r>
      <w:r w:rsidRPr="0055222B">
        <w:t xml:space="preserve"> 22486</w:t>
      </w:r>
    </w:p>
    <w:p w14:paraId="2179E660" w14:textId="77777777" w:rsidR="00084A0D" w:rsidRPr="0055222B" w:rsidRDefault="00084A0D" w:rsidP="00084A0D"/>
    <w:p w14:paraId="5C87C731" w14:textId="77777777" w:rsidR="00084A0D" w:rsidRPr="0055222B" w:rsidRDefault="00084A0D" w:rsidP="00084A0D"/>
    <w:p w14:paraId="191A8852" w14:textId="77777777" w:rsidR="009F1F5A" w:rsidRPr="0055222B" w:rsidRDefault="009F1F5A" w:rsidP="009F1F5A">
      <w:pPr>
        <w:spacing w:line="360" w:lineRule="auto"/>
        <w:jc w:val="center"/>
        <w:rPr>
          <w:b/>
          <w:sz w:val="28"/>
        </w:rPr>
      </w:pPr>
      <w:r w:rsidRPr="0055222B">
        <w:rPr>
          <w:b/>
          <w:sz w:val="28"/>
        </w:rPr>
        <w:t>OBRAZLOŽENJA POSEBNOG DIJELA IZVJEŠTAJA O IZVRŠENJU FINANCIJSKOG PLANA ZA 2024. GODINU</w:t>
      </w:r>
    </w:p>
    <w:p w14:paraId="29EC6A96" w14:textId="77777777" w:rsidR="009F1F5A" w:rsidRPr="0055222B" w:rsidRDefault="009F1F5A" w:rsidP="009F1F5A">
      <w:pPr>
        <w:spacing w:line="360" w:lineRule="auto"/>
        <w:rPr>
          <w:b/>
        </w:rPr>
      </w:pPr>
    </w:p>
    <w:p w14:paraId="6DC1CA31" w14:textId="77777777" w:rsidR="009F1F5A" w:rsidRPr="0055222B" w:rsidRDefault="009F1F5A" w:rsidP="009F1F5A">
      <w:pPr>
        <w:pStyle w:val="Odlomakpopisa"/>
        <w:numPr>
          <w:ilvl w:val="0"/>
          <w:numId w:val="4"/>
        </w:numPr>
        <w:spacing w:after="160" w:line="360" w:lineRule="auto"/>
        <w:contextualSpacing/>
        <w:rPr>
          <w:b/>
        </w:rPr>
      </w:pPr>
      <w:r w:rsidRPr="0055222B">
        <w:rPr>
          <w:b/>
        </w:rPr>
        <w:t>UVOD</w:t>
      </w:r>
    </w:p>
    <w:p w14:paraId="3E76A181" w14:textId="257250DF" w:rsidR="009F1F5A" w:rsidRPr="0055222B" w:rsidRDefault="009F1F5A" w:rsidP="009F1F5A">
      <w:pPr>
        <w:spacing w:line="360" w:lineRule="auto"/>
        <w:ind w:left="360"/>
        <w:jc w:val="both"/>
      </w:pPr>
      <w:r w:rsidRPr="0055222B">
        <w:t xml:space="preserve">Fakultet za odgojne i obrazovne znanosti znanstveno-nastavna je sastavnica Sveučilišta Josipa Jurja Strossmayera u Osijeku koja svojom misijom daje doprinos društvu unaprjeđivanjem obrazovanja i odgoja obrazujući studente na prijediplomskim, diplomskim i poslijediplomskim studijima te provođenjem znanstvenih istraživanja u različitim znanstvenim i umjetničkim područjima i poljima. </w:t>
      </w:r>
      <w:r w:rsidR="00824091" w:rsidRPr="0055222B">
        <w:t xml:space="preserve">Godišnji izvještaj o </w:t>
      </w:r>
      <w:r w:rsidRPr="0055222B">
        <w:t xml:space="preserve">izvršenju financijskog plana </w:t>
      </w:r>
      <w:r w:rsidR="00CD4E29" w:rsidRPr="0055222B">
        <w:t xml:space="preserve">Fakulteta za odgojne i obrazovne znanosti za 2024. godinu </w:t>
      </w:r>
      <w:r w:rsidRPr="0055222B">
        <w:t>izrađuje se sukladno Zakonu o proračunu (Narodne novine, br. 144/</w:t>
      </w:r>
      <w:r w:rsidR="002B0352">
        <w:t>20</w:t>
      </w:r>
      <w:r w:rsidRPr="0055222B">
        <w:t xml:space="preserve">21) i </w:t>
      </w:r>
      <w:r w:rsidRPr="0055222B">
        <w:rPr>
          <w:spacing w:val="3"/>
        </w:rPr>
        <w:t>Pravilniku o polugodišnjem i godišnjem izvještaju o izvršenju proračuna i financijskog plana (Narodne novine, br. 85/</w:t>
      </w:r>
      <w:r w:rsidR="002B0352">
        <w:rPr>
          <w:spacing w:val="3"/>
        </w:rPr>
        <w:t>20</w:t>
      </w:r>
      <w:r w:rsidRPr="0055222B">
        <w:rPr>
          <w:spacing w:val="3"/>
        </w:rPr>
        <w:t>23)</w:t>
      </w:r>
      <w:r w:rsidRPr="0055222B">
        <w:t>.</w:t>
      </w:r>
    </w:p>
    <w:p w14:paraId="681E9453" w14:textId="77777777" w:rsidR="009F1F5A" w:rsidRPr="0055222B" w:rsidRDefault="009F1F5A" w:rsidP="009F1F5A">
      <w:pPr>
        <w:spacing w:line="360" w:lineRule="auto"/>
        <w:ind w:left="360"/>
        <w:jc w:val="both"/>
      </w:pPr>
    </w:p>
    <w:p w14:paraId="782D1269" w14:textId="77777777" w:rsidR="009F1F5A" w:rsidRPr="0055222B" w:rsidRDefault="009F1F5A" w:rsidP="009F1F5A">
      <w:pPr>
        <w:pStyle w:val="Odlomakpopisa"/>
        <w:numPr>
          <w:ilvl w:val="0"/>
          <w:numId w:val="4"/>
        </w:numPr>
        <w:spacing w:after="160" w:line="360" w:lineRule="auto"/>
        <w:contextualSpacing/>
        <w:rPr>
          <w:b/>
        </w:rPr>
      </w:pPr>
      <w:r w:rsidRPr="0055222B">
        <w:rPr>
          <w:b/>
        </w:rPr>
        <w:t>SAŽETAK DJELOKRUGA RADA</w:t>
      </w:r>
    </w:p>
    <w:p w14:paraId="74283350" w14:textId="669FF257" w:rsidR="009F1F5A" w:rsidRDefault="009F1F5A" w:rsidP="002B0352">
      <w:pPr>
        <w:spacing w:line="360" w:lineRule="auto"/>
        <w:jc w:val="both"/>
      </w:pPr>
      <w:r w:rsidRPr="0055222B">
        <w:t xml:space="preserve">Djelokrug rada Fakulteta za odgojne i obrazovne znanosti visoko je obrazovanje koje se provodi ustrojavanjem i izvođenjem sveučilišnih studijskih programa iz područja primarnog odgoja i obrazovanja, ranog i predškolskog odgoja i obrazovanja, edukacijske rehabilitacije te programa cjeloživotnog obrazovanja. Fakultet donosi strateške odluke potrebne za razvoj akademskih </w:t>
      </w:r>
      <w:r w:rsidRPr="0055222B">
        <w:lastRenderedPageBreak/>
        <w:t>pitanja, profiliranje znanstvenih i umjetničkih istraživanja, provodi i razvija financijsku i investicijsku politiku, osigurava zakonodavnu potporu te razvoj kadrova i istraživačke infrastrukture. Fakultet provodi prijediplomsko, diplomsko i poslijediplomsko specijalističko i sveučilišno obrazovanje utemeljeno na znanstvenim, razvojnim i umjetničkim istraživanjima znanosti radi stvaranja novih znanja i ideja te poticanja kritičkog promišljanja i kreativnosti. Fakultet osigurava mobilnost studenata i nastavnika, racionalno korištenje ljudskih i materijalnih potencijala, razvoj novih interdisciplinarnih studijskih programa te nadzor i stalni rast kvalitete, konkurentnosti i međunarodne kompetitivnosti nastavnog, znanstvenog, umjetničkog i stručnog rada. Fakultet razvija izdavačku, bibliotečnu i informatičku djelatnost za potrebe nastave i stručnog rada.</w:t>
      </w:r>
    </w:p>
    <w:p w14:paraId="2120DE61" w14:textId="77777777" w:rsidR="0055222B" w:rsidRPr="0055222B" w:rsidRDefault="0055222B" w:rsidP="009F1F5A">
      <w:pPr>
        <w:spacing w:line="360" w:lineRule="auto"/>
        <w:ind w:left="360"/>
        <w:jc w:val="both"/>
      </w:pPr>
    </w:p>
    <w:p w14:paraId="454576ED" w14:textId="77777777" w:rsidR="009F1F5A" w:rsidRPr="0055222B" w:rsidRDefault="009F1F5A" w:rsidP="009F1F5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eastAsia="Calibri"/>
          <w:b/>
          <w:sz w:val="28"/>
        </w:rPr>
      </w:pPr>
      <w:r w:rsidRPr="0055222B">
        <w:rPr>
          <w:rFonts w:eastAsia="Calibri"/>
          <w:b/>
          <w:sz w:val="28"/>
        </w:rPr>
        <w:t>A621003 Redovna djelatnost Sveučilišta u Osijeku</w:t>
      </w:r>
    </w:p>
    <w:p w14:paraId="14F04D79" w14:textId="77777777" w:rsidR="009F1F5A" w:rsidRPr="0055222B" w:rsidRDefault="009F1F5A" w:rsidP="009F1F5A">
      <w:pPr>
        <w:spacing w:before="240" w:line="360" w:lineRule="auto"/>
        <w:jc w:val="both"/>
        <w:rPr>
          <w:lang w:eastAsia="en-GB"/>
        </w:rPr>
      </w:pPr>
      <w:r w:rsidRPr="0055222B">
        <w:rPr>
          <w:lang w:eastAsia="en-GB"/>
        </w:rPr>
        <w:t>Ova aktivnost sastoji se od sljedećih rashoda:</w:t>
      </w:r>
    </w:p>
    <w:p w14:paraId="61D8D998" w14:textId="77777777" w:rsidR="009F1F5A" w:rsidRPr="0055222B" w:rsidRDefault="009F1F5A" w:rsidP="009F1F5A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</w:rPr>
      </w:pPr>
      <w:r w:rsidRPr="0055222B">
        <w:rPr>
          <w:rFonts w:eastAsia="Calibri"/>
        </w:rPr>
        <w:t>Rashodi za plaće (plaće za redovan radi i doprinosi za obvezno zdravstveno osiguranje)</w:t>
      </w:r>
    </w:p>
    <w:p w14:paraId="572096BA" w14:textId="77777777" w:rsidR="009F1F5A" w:rsidRPr="0055222B" w:rsidRDefault="009F1F5A" w:rsidP="009F1F5A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</w:rPr>
      </w:pPr>
      <w:r w:rsidRPr="0055222B">
        <w:rPr>
          <w:rFonts w:eastAsia="Calibri"/>
        </w:rPr>
        <w:t>Ostali rashodi za zaposlene (materijalna prava zaposlenika)</w:t>
      </w:r>
    </w:p>
    <w:p w14:paraId="184336BD" w14:textId="77777777" w:rsidR="009F1F5A" w:rsidRPr="0055222B" w:rsidRDefault="009F1F5A" w:rsidP="009F1F5A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</w:rPr>
      </w:pPr>
      <w:r w:rsidRPr="0055222B">
        <w:rPr>
          <w:rFonts w:eastAsia="Calibri"/>
        </w:rPr>
        <w:t>Naknada za prijevoz na posao i s posla</w:t>
      </w:r>
    </w:p>
    <w:p w14:paraId="6597A9FA" w14:textId="77777777" w:rsidR="009F1F5A" w:rsidRPr="0055222B" w:rsidRDefault="009F1F5A" w:rsidP="009F1F5A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</w:rPr>
      </w:pPr>
      <w:r w:rsidRPr="0055222B">
        <w:rPr>
          <w:rFonts w:eastAsia="Calibri"/>
        </w:rPr>
        <w:t>Sistematski pregledi zaposlenika</w:t>
      </w:r>
    </w:p>
    <w:p w14:paraId="0660DA4E" w14:textId="77777777" w:rsidR="009F1F5A" w:rsidRPr="0055222B" w:rsidRDefault="009F1F5A" w:rsidP="009F1F5A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</w:rPr>
      </w:pPr>
      <w:r w:rsidRPr="0055222B">
        <w:rPr>
          <w:rFonts w:eastAsia="Calibri"/>
        </w:rPr>
        <w:t>Novčana naknada poslodavca zbog nezapošljavanja osoba s invaliditetom</w:t>
      </w:r>
    </w:p>
    <w:p w14:paraId="4CA386D3" w14:textId="77777777" w:rsidR="009F1F5A" w:rsidRPr="0055222B" w:rsidRDefault="009F1F5A" w:rsidP="009F1F5A">
      <w:pPr>
        <w:spacing w:line="360" w:lineRule="auto"/>
        <w:jc w:val="both"/>
        <w:rPr>
          <w:iCs/>
          <w:rtl/>
          <w:cs/>
          <w:lang w:eastAsia="en-GB" w:bidi="ta-IN"/>
        </w:rPr>
      </w:pPr>
    </w:p>
    <w:tbl>
      <w:tblPr>
        <w:tblStyle w:val="Svijetlareetkatablice"/>
        <w:tblW w:w="6516" w:type="dxa"/>
        <w:jc w:val="center"/>
        <w:tblLook w:val="04A0" w:firstRow="1" w:lastRow="0" w:firstColumn="1" w:lastColumn="0" w:noHBand="0" w:noVBand="1"/>
      </w:tblPr>
      <w:tblGrid>
        <w:gridCol w:w="1187"/>
        <w:gridCol w:w="1408"/>
        <w:gridCol w:w="2016"/>
        <w:gridCol w:w="1905"/>
      </w:tblGrid>
      <w:tr w:rsidR="0055222B" w:rsidRPr="0055222B" w14:paraId="064E2148" w14:textId="77777777" w:rsidTr="004D19F3">
        <w:trPr>
          <w:jc w:val="center"/>
        </w:trPr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3878381A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Aktivnost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70D030D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Izvorni plan ili rebalans 2024.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493B001C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Ostvarenje/Izvršenje 1.-12.2024.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77800BB5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Indeks</w:t>
            </w:r>
          </w:p>
        </w:tc>
      </w:tr>
      <w:tr w:rsidR="009F1F5A" w:rsidRPr="0055222B" w14:paraId="12CC892E" w14:textId="77777777" w:rsidTr="004D19F3">
        <w:trPr>
          <w:jc w:val="center"/>
        </w:trPr>
        <w:tc>
          <w:tcPr>
            <w:tcW w:w="1187" w:type="dxa"/>
            <w:vAlign w:val="center"/>
          </w:tcPr>
          <w:p w14:paraId="7E5F8AD0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A621003</w:t>
            </w:r>
          </w:p>
          <w:p w14:paraId="325D4E97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Redovna djelatnost Sveučilišta u Osijeku</w:t>
            </w:r>
          </w:p>
        </w:tc>
        <w:tc>
          <w:tcPr>
            <w:tcW w:w="1408" w:type="dxa"/>
            <w:vAlign w:val="center"/>
          </w:tcPr>
          <w:p w14:paraId="409CC89A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3.349.633,00</w:t>
            </w:r>
          </w:p>
        </w:tc>
        <w:tc>
          <w:tcPr>
            <w:tcW w:w="2016" w:type="dxa"/>
            <w:vAlign w:val="center"/>
          </w:tcPr>
          <w:p w14:paraId="59C89C4D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3.607.176,57</w:t>
            </w:r>
          </w:p>
        </w:tc>
        <w:tc>
          <w:tcPr>
            <w:tcW w:w="1905" w:type="dxa"/>
            <w:vAlign w:val="center"/>
          </w:tcPr>
          <w:p w14:paraId="00212672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5222B">
              <w:rPr>
                <w:sz w:val="18"/>
                <w:szCs w:val="18"/>
                <w:lang w:eastAsia="en-GB"/>
              </w:rPr>
              <w:t>107,69</w:t>
            </w:r>
          </w:p>
        </w:tc>
      </w:tr>
    </w:tbl>
    <w:p w14:paraId="4BB7722B" w14:textId="77777777" w:rsidR="009F1F5A" w:rsidRPr="0055222B" w:rsidRDefault="009F1F5A" w:rsidP="009F1F5A">
      <w:pPr>
        <w:spacing w:line="360" w:lineRule="auto"/>
        <w:ind w:left="720"/>
        <w:contextualSpacing/>
        <w:jc w:val="both"/>
        <w:rPr>
          <w:rFonts w:eastAsia="Calibri"/>
        </w:rPr>
      </w:pPr>
    </w:p>
    <w:p w14:paraId="57A3B644" w14:textId="45441C69" w:rsidR="009F1F5A" w:rsidRDefault="009F1F5A" w:rsidP="009F1F5A">
      <w:pPr>
        <w:spacing w:line="360" w:lineRule="auto"/>
        <w:jc w:val="both"/>
        <w:rPr>
          <w:lang w:eastAsia="en-GB"/>
        </w:rPr>
      </w:pPr>
      <w:r w:rsidRPr="0055222B">
        <w:rPr>
          <w:lang w:eastAsia="en-GB"/>
        </w:rPr>
        <w:t xml:space="preserve">Redovna djelatnost Sveučilišta u Osijeku (aktivnost u proračunu A621003) sastavni je dio financijskog plana, provodi se svake godine i pozicija je na kojoj se planira i ostvaruje najveći iznos rashoda. </w:t>
      </w:r>
      <w:r w:rsidR="00D870AD" w:rsidRPr="0055222B">
        <w:rPr>
          <w:lang w:eastAsia="en-GB"/>
        </w:rPr>
        <w:t xml:space="preserve">Rashodi su izvršeni za 7,69 % više od planiranih. Razlog povećanja izvršenja u odnosu na izvorni plan rezultat je povećanja plaća za zaposlene koje su tijekom 2024. godine povećane sukladno novim propisima koji reguliraju plaće u javnim službama. Izmjene i dopune </w:t>
      </w:r>
      <w:r w:rsidR="00D870AD" w:rsidRPr="0055222B">
        <w:rPr>
          <w:lang w:eastAsia="en-GB"/>
        </w:rPr>
        <w:lastRenderedPageBreak/>
        <w:t xml:space="preserve">financijskog plan za 2024. godinu rađene su u skladu s prethodno dostavljenim limitima. </w:t>
      </w:r>
      <w:r w:rsidR="0055222B" w:rsidRPr="0055222B">
        <w:rPr>
          <w:lang w:eastAsia="en-GB"/>
        </w:rPr>
        <w:t>Za izvršen</w:t>
      </w:r>
      <w:r w:rsidR="002B0352">
        <w:rPr>
          <w:lang w:eastAsia="en-GB"/>
        </w:rPr>
        <w:t>e</w:t>
      </w:r>
      <w:r w:rsidR="0055222B" w:rsidRPr="0055222B">
        <w:rPr>
          <w:lang w:eastAsia="en-GB"/>
        </w:rPr>
        <w:t xml:space="preserve"> rashode  na ovoj aktivnosti ostvareni su prihodi u izvještajnom razdoblju u istom iznosu.</w:t>
      </w:r>
    </w:p>
    <w:p w14:paraId="6102CD39" w14:textId="77777777" w:rsidR="002B0352" w:rsidRPr="0055222B" w:rsidRDefault="002B0352" w:rsidP="009F1F5A">
      <w:pPr>
        <w:spacing w:line="360" w:lineRule="auto"/>
        <w:jc w:val="both"/>
        <w:rPr>
          <w:lang w:eastAsia="en-GB"/>
        </w:rPr>
      </w:pPr>
    </w:p>
    <w:p w14:paraId="54D5CED0" w14:textId="77777777" w:rsidR="009F1F5A" w:rsidRPr="0055222B" w:rsidRDefault="009F1F5A" w:rsidP="009F1F5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eastAsia="Calibri"/>
          <w:b/>
          <w:sz w:val="28"/>
        </w:rPr>
      </w:pPr>
      <w:r w:rsidRPr="0055222B">
        <w:rPr>
          <w:rFonts w:eastAsia="Calibri"/>
          <w:b/>
          <w:sz w:val="28"/>
        </w:rPr>
        <w:t xml:space="preserve">A622122 Programsko financiranje javnih visokih učilišta </w:t>
      </w:r>
    </w:p>
    <w:p w14:paraId="296BEF8F" w14:textId="77777777" w:rsidR="009F1F5A" w:rsidRPr="0055222B" w:rsidRDefault="009F1F5A" w:rsidP="009F1F5A">
      <w:pPr>
        <w:spacing w:line="360" w:lineRule="auto"/>
        <w:jc w:val="both"/>
        <w:rPr>
          <w:lang w:eastAsia="en-GB"/>
        </w:rPr>
      </w:pPr>
      <w:r w:rsidRPr="0055222B">
        <w:rPr>
          <w:lang w:eastAsia="en-GB"/>
        </w:rPr>
        <w:t>Cilj ove aktivnosti je ostvarenje razvojnih pomaka u nastavnoj i znanstvenoj djelatnosti, unapređivanje postojećih studijskih programa te izvođenje novih studijskih programa čija je izrada u tijeku te postizanje utvrđenih institucijskih ciljeva, a sve u skladu s realizacijom utvrđenih ciljeva programskog financiranja:</w:t>
      </w:r>
    </w:p>
    <w:p w14:paraId="2CD20D4D" w14:textId="77777777" w:rsidR="009F1F5A" w:rsidRPr="0055222B" w:rsidRDefault="009F1F5A" w:rsidP="009F1F5A">
      <w:pPr>
        <w:pStyle w:val="Odlomakpopisa"/>
        <w:numPr>
          <w:ilvl w:val="0"/>
          <w:numId w:val="6"/>
        </w:numPr>
        <w:tabs>
          <w:tab w:val="left" w:pos="709"/>
        </w:tabs>
        <w:spacing w:after="120" w:line="360" w:lineRule="auto"/>
        <w:contextualSpacing/>
        <w:rPr>
          <w:lang w:eastAsia="en-GB"/>
        </w:rPr>
      </w:pPr>
      <w:r w:rsidRPr="0055222B">
        <w:rPr>
          <w:lang w:eastAsia="en-GB"/>
        </w:rPr>
        <w:t>Relevantnost u odnosu na sadašnje i buduće potrebe tržišta rada te razvoja gospodarstva i društva, učinkovitost i internacionalizacija visokog obrazovanja</w:t>
      </w:r>
    </w:p>
    <w:p w14:paraId="11552056" w14:textId="77777777" w:rsidR="009F1F5A" w:rsidRPr="0055222B" w:rsidRDefault="009F1F5A" w:rsidP="009F1F5A">
      <w:pPr>
        <w:pStyle w:val="Odlomakpopisa"/>
        <w:numPr>
          <w:ilvl w:val="0"/>
          <w:numId w:val="6"/>
        </w:numPr>
        <w:tabs>
          <w:tab w:val="left" w:pos="709"/>
        </w:tabs>
        <w:spacing w:after="120" w:line="360" w:lineRule="auto"/>
        <w:contextualSpacing/>
        <w:rPr>
          <w:lang w:eastAsia="en-GB"/>
        </w:rPr>
      </w:pPr>
      <w:r w:rsidRPr="0055222B">
        <w:rPr>
          <w:lang w:eastAsia="en-GB"/>
        </w:rPr>
        <w:t>Izvrsnost znanstvenog i umjetničkog rada</w:t>
      </w:r>
    </w:p>
    <w:p w14:paraId="09C64329" w14:textId="77777777" w:rsidR="009F1F5A" w:rsidRPr="0055222B" w:rsidRDefault="009F1F5A" w:rsidP="009F1F5A">
      <w:pPr>
        <w:pStyle w:val="Odlomakpopisa"/>
        <w:numPr>
          <w:ilvl w:val="0"/>
          <w:numId w:val="6"/>
        </w:numPr>
        <w:tabs>
          <w:tab w:val="left" w:pos="426"/>
        </w:tabs>
        <w:spacing w:after="120" w:line="360" w:lineRule="auto"/>
        <w:contextualSpacing/>
        <w:rPr>
          <w:lang w:eastAsia="en-GB"/>
        </w:rPr>
      </w:pPr>
      <w:r w:rsidRPr="0055222B">
        <w:rPr>
          <w:lang w:eastAsia="en-GB"/>
        </w:rPr>
        <w:t xml:space="preserve">Znanost, umjetnost i visoko obrazovanje kao pokretači promjena u društvu i gospodarstvu. </w:t>
      </w: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225"/>
        <w:gridCol w:w="2016"/>
        <w:gridCol w:w="1797"/>
      </w:tblGrid>
      <w:tr w:rsidR="0055222B" w:rsidRPr="0055222B" w14:paraId="556B1FD1" w14:textId="77777777" w:rsidTr="004D19F3">
        <w:trPr>
          <w:jc w:val="center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160B2D0D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Aktivnost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5CC0531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Izvorni plan ili rebalans 2024.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3EF00EDA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Ostvarenje/Izvršenje 1.-12.2024.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1A76AA2C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Indeks</w:t>
            </w:r>
          </w:p>
        </w:tc>
      </w:tr>
      <w:tr w:rsidR="009F1F5A" w:rsidRPr="0055222B" w14:paraId="4F611E9C" w14:textId="77777777" w:rsidTr="004D19F3">
        <w:trPr>
          <w:jc w:val="center"/>
        </w:trPr>
        <w:tc>
          <w:tcPr>
            <w:tcW w:w="1336" w:type="dxa"/>
            <w:vAlign w:val="center"/>
          </w:tcPr>
          <w:p w14:paraId="09B079DC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szCs w:val="18"/>
                <w:lang w:eastAsia="en-GB"/>
              </w:rPr>
            </w:pPr>
            <w:r w:rsidRPr="0055222B">
              <w:rPr>
                <w:sz w:val="20"/>
                <w:szCs w:val="18"/>
                <w:lang w:eastAsia="en-GB"/>
              </w:rPr>
              <w:t>A622122</w:t>
            </w:r>
          </w:p>
          <w:p w14:paraId="523F93BC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szCs w:val="18"/>
                <w:lang w:eastAsia="en-GB"/>
              </w:rPr>
            </w:pPr>
            <w:r w:rsidRPr="0055222B">
              <w:rPr>
                <w:sz w:val="20"/>
                <w:szCs w:val="18"/>
                <w:lang w:eastAsia="en-GB"/>
              </w:rPr>
              <w:t>Programsko financiranje javnih visokih učilišta</w:t>
            </w:r>
          </w:p>
        </w:tc>
        <w:tc>
          <w:tcPr>
            <w:tcW w:w="1225" w:type="dxa"/>
            <w:vAlign w:val="center"/>
          </w:tcPr>
          <w:p w14:paraId="6C137095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179.676,00</w:t>
            </w:r>
          </w:p>
        </w:tc>
        <w:tc>
          <w:tcPr>
            <w:tcW w:w="2016" w:type="dxa"/>
            <w:vAlign w:val="center"/>
          </w:tcPr>
          <w:p w14:paraId="40D2E370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255.561,84</w:t>
            </w:r>
          </w:p>
        </w:tc>
        <w:tc>
          <w:tcPr>
            <w:tcW w:w="1797" w:type="dxa"/>
            <w:vAlign w:val="center"/>
          </w:tcPr>
          <w:p w14:paraId="756C1B52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5222B">
              <w:rPr>
                <w:sz w:val="18"/>
                <w:szCs w:val="18"/>
                <w:lang w:eastAsia="en-GB"/>
              </w:rPr>
              <w:t>142,23</w:t>
            </w:r>
          </w:p>
        </w:tc>
      </w:tr>
    </w:tbl>
    <w:p w14:paraId="5BE03065" w14:textId="059B5AC2" w:rsidR="009F1F5A" w:rsidRPr="0055222B" w:rsidRDefault="009F1F5A" w:rsidP="009F1F5A">
      <w:pPr>
        <w:spacing w:line="360" w:lineRule="auto"/>
        <w:jc w:val="both"/>
        <w:rPr>
          <w:lang w:eastAsia="en-GB"/>
        </w:rPr>
      </w:pPr>
    </w:p>
    <w:p w14:paraId="33F5757B" w14:textId="0CEC3238" w:rsidR="00D870AD" w:rsidRPr="0055222B" w:rsidRDefault="00D870AD" w:rsidP="009F1F5A">
      <w:pPr>
        <w:spacing w:line="360" w:lineRule="auto"/>
        <w:jc w:val="both"/>
        <w:rPr>
          <w:lang w:eastAsia="en-GB"/>
        </w:rPr>
      </w:pPr>
      <w:r w:rsidRPr="0055222B">
        <w:rPr>
          <w:lang w:eastAsia="en-GB"/>
        </w:rPr>
        <w:t xml:space="preserve">Izmjene i dopune financijskog plana za 2024. godinu rađene su sukladno dostavljenim limitima. Budući da su sredstva za ovu aktivnost </w:t>
      </w:r>
      <w:r w:rsidR="00A5587B" w:rsidRPr="0055222B">
        <w:rPr>
          <w:lang w:eastAsia="en-GB"/>
        </w:rPr>
        <w:t>doznačena</w:t>
      </w:r>
      <w:r w:rsidRPr="0055222B">
        <w:rPr>
          <w:lang w:eastAsia="en-GB"/>
        </w:rPr>
        <w:t xml:space="preserve"> u većem iznosu od prethodno dostavljenih limita na temelju kojih je </w:t>
      </w:r>
      <w:r w:rsidR="00A5587B" w:rsidRPr="0055222B">
        <w:rPr>
          <w:lang w:eastAsia="en-GB"/>
        </w:rPr>
        <w:t>trebalo izraditi izmjene i dopune financijskog plana za 2024. godinu izvršenje financijskog plana na godišnjoj razini ostvareno je za 42,23 % više u odnosu na planirane iznose.</w:t>
      </w:r>
      <w:r w:rsidR="0055222B" w:rsidRPr="0055222B">
        <w:rPr>
          <w:lang w:eastAsia="en-GB"/>
        </w:rPr>
        <w:t xml:space="preserve"> Za izvršeni rashode  na ovoj aktivnosti ostvareni su prihodi u izvještajnom razdoblju u istom iznosu.</w:t>
      </w:r>
    </w:p>
    <w:p w14:paraId="3092E491" w14:textId="77777777" w:rsidR="00CF0704" w:rsidRPr="0055222B" w:rsidRDefault="00CF0704" w:rsidP="009F1F5A">
      <w:pPr>
        <w:spacing w:line="360" w:lineRule="auto"/>
        <w:jc w:val="both"/>
        <w:rPr>
          <w:lang w:eastAsia="en-GB"/>
        </w:rPr>
      </w:pPr>
    </w:p>
    <w:p w14:paraId="13DB7B8E" w14:textId="77777777" w:rsidR="009F1F5A" w:rsidRPr="0055222B" w:rsidRDefault="009F1F5A" w:rsidP="009F1F5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eastAsia="Calibri"/>
          <w:b/>
          <w:sz w:val="28"/>
        </w:rPr>
      </w:pPr>
      <w:r w:rsidRPr="0055222B">
        <w:rPr>
          <w:rFonts w:eastAsia="Calibri"/>
          <w:b/>
          <w:sz w:val="28"/>
        </w:rPr>
        <w:t xml:space="preserve">A621038 Programi vježbaonica visokih učilišta </w:t>
      </w:r>
    </w:p>
    <w:p w14:paraId="661FA125" w14:textId="77777777" w:rsidR="009F1F5A" w:rsidRPr="0055222B" w:rsidRDefault="009F1F5A" w:rsidP="009F1F5A">
      <w:pPr>
        <w:spacing w:line="360" w:lineRule="auto"/>
        <w:jc w:val="both"/>
        <w:rPr>
          <w:lang w:eastAsia="en-GB"/>
        </w:rPr>
      </w:pPr>
      <w:r w:rsidRPr="0055222B">
        <w:rPr>
          <w:lang w:eastAsia="en-GB"/>
        </w:rPr>
        <w:lastRenderedPageBreak/>
        <w:t>Program vježbaonica visokih učilišta (aktivnost u proračunu A621038) sastavni je dio financijskog plana i provodi se svake godine. Za proračunsku 2024. godinu planirano je ukupno za ovu aktivnost 4.753,00 eura jer se očekuje povećanje opsega rada u vježbaonicama sukladno ciljevima povećanja udjela rada u vježbaonicama i stručne prakse u nastavnim programima radi kvalitetnije pripreme za tržište rada. Planirani iznos ove aktivnosti u potpunosti je izvršen.</w:t>
      </w:r>
    </w:p>
    <w:p w14:paraId="6675E8DF" w14:textId="77777777" w:rsidR="009F1F5A" w:rsidRPr="0055222B" w:rsidRDefault="009F1F5A" w:rsidP="009F1F5A">
      <w:pPr>
        <w:spacing w:line="360" w:lineRule="auto"/>
        <w:jc w:val="both"/>
        <w:rPr>
          <w:rFonts w:eastAsia="Calibri"/>
          <w:lang w:val="en-US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350"/>
        <w:gridCol w:w="2016"/>
        <w:gridCol w:w="1670"/>
      </w:tblGrid>
      <w:tr w:rsidR="0055222B" w:rsidRPr="0055222B" w14:paraId="42C25181" w14:textId="77777777" w:rsidTr="002B0352">
        <w:trPr>
          <w:trHeight w:val="913"/>
          <w:jc w:val="center"/>
        </w:trPr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5473AA72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Aktivnost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45EC5C8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Izvorni plan ili rebalans 2024.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72D678D9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Ostvarenje/Izvršenje 1.-12.2024.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28E70BF4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Indeks</w:t>
            </w:r>
          </w:p>
        </w:tc>
      </w:tr>
      <w:tr w:rsidR="009F1F5A" w:rsidRPr="0055222B" w14:paraId="1D7A13D5" w14:textId="77777777" w:rsidTr="004D19F3">
        <w:trPr>
          <w:jc w:val="center"/>
        </w:trPr>
        <w:tc>
          <w:tcPr>
            <w:tcW w:w="1622" w:type="dxa"/>
            <w:vAlign w:val="center"/>
          </w:tcPr>
          <w:p w14:paraId="33BD8EBE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A621038</w:t>
            </w:r>
          </w:p>
          <w:p w14:paraId="0A19D071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Programi vježbaonica visokih učilišta</w:t>
            </w:r>
          </w:p>
        </w:tc>
        <w:tc>
          <w:tcPr>
            <w:tcW w:w="1350" w:type="dxa"/>
            <w:vAlign w:val="center"/>
          </w:tcPr>
          <w:p w14:paraId="1B5E221F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3.749,00</w:t>
            </w:r>
          </w:p>
        </w:tc>
        <w:tc>
          <w:tcPr>
            <w:tcW w:w="2016" w:type="dxa"/>
            <w:vAlign w:val="center"/>
          </w:tcPr>
          <w:p w14:paraId="054FB30B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8.293,42</w:t>
            </w:r>
          </w:p>
        </w:tc>
        <w:tc>
          <w:tcPr>
            <w:tcW w:w="1670" w:type="dxa"/>
            <w:vAlign w:val="center"/>
          </w:tcPr>
          <w:p w14:paraId="5D944DD0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5222B">
              <w:rPr>
                <w:sz w:val="18"/>
                <w:szCs w:val="18"/>
                <w:lang w:eastAsia="en-GB"/>
              </w:rPr>
              <w:t>221,22</w:t>
            </w:r>
          </w:p>
        </w:tc>
      </w:tr>
    </w:tbl>
    <w:p w14:paraId="50FAEE5D" w14:textId="234C7126" w:rsidR="00A5587B" w:rsidRPr="0055222B" w:rsidRDefault="00A5587B" w:rsidP="00A5587B">
      <w:pPr>
        <w:spacing w:line="360" w:lineRule="auto"/>
        <w:jc w:val="both"/>
        <w:rPr>
          <w:lang w:eastAsia="en-GB"/>
        </w:rPr>
      </w:pPr>
      <w:r w:rsidRPr="0055222B">
        <w:rPr>
          <w:lang w:eastAsia="en-GB"/>
        </w:rPr>
        <w:t>Izmjene i dopune financijskog plana za 2024. godinu rađene su sukladno dostavljenim limitima. Budući da su sredstva za ovu aktivnost doznačena u većem iznosu od prethodno dostavljenih limita na temelju kojih je trebalo izraditi izmjene i dopune financijskog plana za 2024. godinu izvršenje financijskog plana na godišnjoj razini ostvareno je za 121,22 % više u odnosu na planirane iznose.</w:t>
      </w:r>
      <w:r w:rsidR="0055222B" w:rsidRPr="0055222B">
        <w:rPr>
          <w:lang w:eastAsia="en-GB"/>
        </w:rPr>
        <w:t xml:space="preserve"> Za izvršeni rashode  na ovoj aktivnosti ostvareni su prihodi u izvještajnom razdoblju u istom iznosu. </w:t>
      </w:r>
    </w:p>
    <w:p w14:paraId="0FF2A37A" w14:textId="77777777" w:rsidR="009F1F5A" w:rsidRPr="0055222B" w:rsidRDefault="009F1F5A" w:rsidP="009F1F5A">
      <w:pPr>
        <w:spacing w:line="360" w:lineRule="auto"/>
        <w:jc w:val="both"/>
        <w:rPr>
          <w:lang w:eastAsia="en-GB"/>
        </w:rPr>
      </w:pPr>
    </w:p>
    <w:p w14:paraId="6A7645AD" w14:textId="77777777" w:rsidR="009F1F5A" w:rsidRPr="0055222B" w:rsidRDefault="009F1F5A" w:rsidP="009F1F5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eastAsia="Calibri"/>
          <w:b/>
          <w:sz w:val="28"/>
        </w:rPr>
      </w:pPr>
      <w:r w:rsidRPr="0055222B">
        <w:rPr>
          <w:rFonts w:eastAsia="Calibri"/>
          <w:b/>
          <w:sz w:val="28"/>
        </w:rPr>
        <w:t xml:space="preserve">A621183 Stipendije i školarine za doktorski studij </w:t>
      </w:r>
    </w:p>
    <w:p w14:paraId="565BED31" w14:textId="7491CF44" w:rsidR="009F1F5A" w:rsidRPr="0055222B" w:rsidRDefault="009F1F5A" w:rsidP="009F1F5A">
      <w:pPr>
        <w:spacing w:line="360" w:lineRule="auto"/>
        <w:jc w:val="both"/>
        <w:rPr>
          <w:lang w:eastAsia="en-GB"/>
        </w:rPr>
      </w:pPr>
      <w:r w:rsidRPr="0055222B">
        <w:rPr>
          <w:lang w:eastAsia="en-GB"/>
        </w:rPr>
        <w:t>Za proračunsku 2024. godinu planirano je ukupno za ovu aktivnost 411,00 eura. Navedena aktivnost rezultat je ostvarivanja prava zaposlenika temeljem kolektivnoga ugovora</w:t>
      </w:r>
      <w:r w:rsidR="00A5587B" w:rsidRPr="0055222B">
        <w:rPr>
          <w:lang w:eastAsia="en-GB"/>
        </w:rPr>
        <w:t xml:space="preserve"> za znanost i visoko obrazovanje</w:t>
      </w:r>
      <w:r w:rsidRPr="0055222B">
        <w:rPr>
          <w:lang w:eastAsia="en-GB"/>
        </w:rPr>
        <w:t xml:space="preserve"> za troškove povezane s izradom, tiskom i opremom doktorskog rada. </w:t>
      </w:r>
      <w:r w:rsidR="00A5587B" w:rsidRPr="0055222B">
        <w:rPr>
          <w:lang w:eastAsia="en-GB"/>
        </w:rPr>
        <w:t>Izvršenje financijskog plana ostvareno je sukladno planiranom iznosu za ovu aktivnost.</w:t>
      </w:r>
    </w:p>
    <w:p w14:paraId="1FA7477F" w14:textId="77777777" w:rsidR="009F1F5A" w:rsidRPr="0055222B" w:rsidRDefault="009F1F5A" w:rsidP="009F1F5A">
      <w:pPr>
        <w:spacing w:line="360" w:lineRule="auto"/>
        <w:ind w:left="720"/>
        <w:jc w:val="both"/>
        <w:rPr>
          <w:i/>
          <w:lang w:eastAsia="en-GB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350"/>
        <w:gridCol w:w="2016"/>
        <w:gridCol w:w="1670"/>
      </w:tblGrid>
      <w:tr w:rsidR="0055222B" w:rsidRPr="0055222B" w14:paraId="7306CE85" w14:textId="77777777" w:rsidTr="004D19F3">
        <w:trPr>
          <w:jc w:val="center"/>
        </w:trPr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6F6E8CAE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Aktivnost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F17DC3A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Izvorni plan ili rebalans 2024.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5168A85C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Ostvarenje/Izvršenje 1.-12.2024.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370FC509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Indeks</w:t>
            </w:r>
          </w:p>
        </w:tc>
      </w:tr>
      <w:tr w:rsidR="009F1F5A" w:rsidRPr="0055222B" w14:paraId="74441BF7" w14:textId="77777777" w:rsidTr="004D19F3">
        <w:trPr>
          <w:jc w:val="center"/>
        </w:trPr>
        <w:tc>
          <w:tcPr>
            <w:tcW w:w="1622" w:type="dxa"/>
            <w:vAlign w:val="center"/>
          </w:tcPr>
          <w:p w14:paraId="672DC5DE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A621183</w:t>
            </w:r>
          </w:p>
          <w:p w14:paraId="620CB1BC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Stipendije i školarine za doktorski studij</w:t>
            </w:r>
          </w:p>
        </w:tc>
        <w:tc>
          <w:tcPr>
            <w:tcW w:w="1350" w:type="dxa"/>
            <w:vAlign w:val="center"/>
          </w:tcPr>
          <w:p w14:paraId="1C0B5C34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411,00</w:t>
            </w:r>
          </w:p>
        </w:tc>
        <w:tc>
          <w:tcPr>
            <w:tcW w:w="2016" w:type="dxa"/>
            <w:vAlign w:val="center"/>
          </w:tcPr>
          <w:p w14:paraId="7ADD07BC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411,03</w:t>
            </w:r>
          </w:p>
        </w:tc>
        <w:tc>
          <w:tcPr>
            <w:tcW w:w="1670" w:type="dxa"/>
            <w:vAlign w:val="center"/>
          </w:tcPr>
          <w:p w14:paraId="0C7EB721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5222B">
              <w:rPr>
                <w:sz w:val="18"/>
                <w:szCs w:val="18"/>
                <w:lang w:eastAsia="en-GB"/>
              </w:rPr>
              <w:t>100,01</w:t>
            </w:r>
          </w:p>
        </w:tc>
      </w:tr>
    </w:tbl>
    <w:p w14:paraId="73F1CEA9" w14:textId="77777777" w:rsidR="009F1F5A" w:rsidRPr="0055222B" w:rsidRDefault="009F1F5A" w:rsidP="009F1F5A">
      <w:pPr>
        <w:spacing w:line="360" w:lineRule="auto"/>
        <w:jc w:val="both"/>
        <w:rPr>
          <w:lang w:eastAsia="en-GB"/>
        </w:rPr>
      </w:pPr>
    </w:p>
    <w:p w14:paraId="1E921405" w14:textId="77777777" w:rsidR="009F1F5A" w:rsidRPr="0055222B" w:rsidRDefault="009F1F5A" w:rsidP="009F1F5A">
      <w:pPr>
        <w:spacing w:line="360" w:lineRule="auto"/>
        <w:jc w:val="both"/>
        <w:rPr>
          <w:lang w:eastAsia="en-GB"/>
        </w:rPr>
      </w:pPr>
    </w:p>
    <w:p w14:paraId="6516C993" w14:textId="77777777" w:rsidR="009F1F5A" w:rsidRPr="0055222B" w:rsidRDefault="009F1F5A" w:rsidP="009F1F5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eastAsia="Calibri"/>
          <w:b/>
          <w:sz w:val="28"/>
        </w:rPr>
      </w:pPr>
      <w:r w:rsidRPr="0055222B">
        <w:rPr>
          <w:rFonts w:eastAsia="Calibri"/>
          <w:b/>
          <w:sz w:val="28"/>
        </w:rPr>
        <w:lastRenderedPageBreak/>
        <w:t xml:space="preserve">A621181 Pravomoćne sudske presude </w:t>
      </w:r>
    </w:p>
    <w:p w14:paraId="363FEA5D" w14:textId="4683049F" w:rsidR="009F1F5A" w:rsidRPr="0055222B" w:rsidRDefault="00B70479" w:rsidP="009F1F5A">
      <w:pPr>
        <w:spacing w:line="360" w:lineRule="auto"/>
        <w:jc w:val="both"/>
        <w:rPr>
          <w:lang w:eastAsia="en-GB"/>
        </w:rPr>
      </w:pPr>
      <w:r w:rsidRPr="0055222B">
        <w:rPr>
          <w:lang w:eastAsia="en-GB"/>
        </w:rPr>
        <w:t xml:space="preserve">U 2024. godini izvršen je obračun i isplata za ukupno 1 pravomoćnu sudsku presudu. Ova aktivnost u proračunu rezultat je tužbi zaposlenika za isplatu razlike bruto plaće na temelju propisa koji uređuju prava iz radnog odnosa zaposlenika. </w:t>
      </w:r>
      <w:r w:rsidR="009F1F5A" w:rsidRPr="0055222B">
        <w:rPr>
          <w:lang w:eastAsia="en-GB"/>
        </w:rPr>
        <w:t xml:space="preserve">Za proračunsku 2024. godinu planirano je ukupno za ovu aktivnost </w:t>
      </w:r>
      <w:r w:rsidR="00A5587B" w:rsidRPr="0055222B">
        <w:rPr>
          <w:lang w:eastAsia="en-GB"/>
        </w:rPr>
        <w:t>3.108,00</w:t>
      </w:r>
      <w:r w:rsidR="009F1F5A" w:rsidRPr="0055222B">
        <w:rPr>
          <w:lang w:eastAsia="en-GB"/>
        </w:rPr>
        <w:t xml:space="preserve"> eura.</w:t>
      </w:r>
      <w:r w:rsidR="002051A7" w:rsidRPr="0055222B">
        <w:rPr>
          <w:lang w:eastAsia="en-GB"/>
        </w:rPr>
        <w:t xml:space="preserve"> Izvršenje financijskog plana ostvareno je u visini planiranih iznosa.</w:t>
      </w:r>
    </w:p>
    <w:p w14:paraId="4D0EC315" w14:textId="77777777" w:rsidR="009F1F5A" w:rsidRPr="0055222B" w:rsidRDefault="009F1F5A" w:rsidP="009F1F5A">
      <w:pPr>
        <w:spacing w:line="360" w:lineRule="auto"/>
        <w:ind w:left="720"/>
        <w:jc w:val="both"/>
        <w:rPr>
          <w:i/>
          <w:lang w:eastAsia="en-GB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350"/>
        <w:gridCol w:w="2016"/>
        <w:gridCol w:w="1670"/>
      </w:tblGrid>
      <w:tr w:rsidR="0055222B" w:rsidRPr="0055222B" w14:paraId="5ACE2CCB" w14:textId="77777777" w:rsidTr="004D19F3">
        <w:trPr>
          <w:jc w:val="center"/>
        </w:trPr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4A5ED98A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Aktivnost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3CC65F7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Izvorni plan ili rebalans 2024.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43707E9C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Ostvarenje/Izvršenje 1.-12.2024.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4DB60442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Indeks</w:t>
            </w:r>
          </w:p>
        </w:tc>
      </w:tr>
      <w:tr w:rsidR="009F1F5A" w:rsidRPr="0055222B" w14:paraId="49966B4F" w14:textId="77777777" w:rsidTr="004D19F3">
        <w:trPr>
          <w:jc w:val="center"/>
        </w:trPr>
        <w:tc>
          <w:tcPr>
            <w:tcW w:w="1622" w:type="dxa"/>
            <w:vAlign w:val="center"/>
          </w:tcPr>
          <w:p w14:paraId="32995943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A621181</w:t>
            </w:r>
          </w:p>
          <w:p w14:paraId="4002404C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Pravomoćne sudske presude</w:t>
            </w:r>
          </w:p>
        </w:tc>
        <w:tc>
          <w:tcPr>
            <w:tcW w:w="1350" w:type="dxa"/>
            <w:vAlign w:val="center"/>
          </w:tcPr>
          <w:p w14:paraId="31697F19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3.108,00</w:t>
            </w:r>
          </w:p>
        </w:tc>
        <w:tc>
          <w:tcPr>
            <w:tcW w:w="2016" w:type="dxa"/>
            <w:vAlign w:val="center"/>
          </w:tcPr>
          <w:p w14:paraId="373DB39B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3.108,70</w:t>
            </w:r>
          </w:p>
        </w:tc>
        <w:tc>
          <w:tcPr>
            <w:tcW w:w="1670" w:type="dxa"/>
            <w:vAlign w:val="center"/>
          </w:tcPr>
          <w:p w14:paraId="55200CC3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5222B">
              <w:rPr>
                <w:sz w:val="18"/>
                <w:szCs w:val="18"/>
                <w:lang w:eastAsia="en-GB"/>
              </w:rPr>
              <w:t>100,02</w:t>
            </w:r>
          </w:p>
        </w:tc>
      </w:tr>
    </w:tbl>
    <w:p w14:paraId="2A9F80B4" w14:textId="77777777" w:rsidR="009F1F5A" w:rsidRPr="0055222B" w:rsidRDefault="009F1F5A" w:rsidP="009F1F5A">
      <w:pPr>
        <w:spacing w:line="360" w:lineRule="auto"/>
        <w:jc w:val="both"/>
        <w:rPr>
          <w:lang w:eastAsia="en-GB"/>
        </w:rPr>
      </w:pPr>
    </w:p>
    <w:p w14:paraId="44194C69" w14:textId="77777777" w:rsidR="009F1F5A" w:rsidRPr="0055222B" w:rsidRDefault="009F1F5A" w:rsidP="009F1F5A">
      <w:pPr>
        <w:spacing w:line="360" w:lineRule="auto"/>
        <w:jc w:val="both"/>
        <w:rPr>
          <w:b/>
        </w:rPr>
      </w:pPr>
    </w:p>
    <w:p w14:paraId="19953BE0" w14:textId="77777777" w:rsidR="009F1F5A" w:rsidRPr="0055222B" w:rsidRDefault="009F1F5A" w:rsidP="009F1F5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eastAsia="Calibri"/>
          <w:b/>
          <w:sz w:val="28"/>
        </w:rPr>
      </w:pPr>
      <w:r w:rsidRPr="0055222B">
        <w:rPr>
          <w:rFonts w:eastAsia="Calibri"/>
          <w:b/>
          <w:sz w:val="28"/>
        </w:rPr>
        <w:t>A679090 Redovna djelatnost Sveučilišta u Osijeku (iz evidencijskih prihoda)</w:t>
      </w:r>
    </w:p>
    <w:p w14:paraId="0D26D127" w14:textId="77777777" w:rsidR="009F1F5A" w:rsidRPr="0055222B" w:rsidRDefault="009F1F5A" w:rsidP="009F1F5A">
      <w:pPr>
        <w:spacing w:line="360" w:lineRule="auto"/>
        <w:jc w:val="both"/>
        <w:rPr>
          <w:lang w:eastAsia="en-GB"/>
        </w:rPr>
      </w:pPr>
    </w:p>
    <w:tbl>
      <w:tblPr>
        <w:tblStyle w:val="Svijetlareetkatablice"/>
        <w:tblW w:w="6941" w:type="dxa"/>
        <w:jc w:val="center"/>
        <w:tblLook w:val="04A0" w:firstRow="1" w:lastRow="0" w:firstColumn="1" w:lastColumn="0" w:noHBand="0" w:noVBand="1"/>
      </w:tblPr>
      <w:tblGrid>
        <w:gridCol w:w="1759"/>
        <w:gridCol w:w="1330"/>
        <w:gridCol w:w="2016"/>
        <w:gridCol w:w="1836"/>
      </w:tblGrid>
      <w:tr w:rsidR="0055222B" w:rsidRPr="0055222B" w14:paraId="22A0BE3F" w14:textId="77777777" w:rsidTr="004D19F3">
        <w:trPr>
          <w:jc w:val="center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2532714D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Aktivnost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B31704A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Izvorni plan ili rebalans 2024.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52AD8E24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Ostvarenje/Izvršenje 1.-12.2024.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6732CAF3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Indeks</w:t>
            </w:r>
          </w:p>
        </w:tc>
      </w:tr>
      <w:tr w:rsidR="009F1F5A" w:rsidRPr="0055222B" w14:paraId="1A2E32C9" w14:textId="77777777" w:rsidTr="004D19F3">
        <w:trPr>
          <w:jc w:val="center"/>
        </w:trPr>
        <w:tc>
          <w:tcPr>
            <w:tcW w:w="1759" w:type="dxa"/>
            <w:vAlign w:val="center"/>
          </w:tcPr>
          <w:p w14:paraId="0BAF34EE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A679090</w:t>
            </w:r>
          </w:p>
          <w:p w14:paraId="5B8E5138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Redovna djelatnost Sveučilišta u Osijeku (iz evidencijskih prihoda)</w:t>
            </w:r>
          </w:p>
        </w:tc>
        <w:tc>
          <w:tcPr>
            <w:tcW w:w="1330" w:type="dxa"/>
            <w:vAlign w:val="center"/>
          </w:tcPr>
          <w:p w14:paraId="7DCECB79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859.521,00</w:t>
            </w:r>
          </w:p>
        </w:tc>
        <w:tc>
          <w:tcPr>
            <w:tcW w:w="2016" w:type="dxa"/>
            <w:vAlign w:val="center"/>
          </w:tcPr>
          <w:p w14:paraId="0160E403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752.740,91</w:t>
            </w:r>
          </w:p>
        </w:tc>
        <w:tc>
          <w:tcPr>
            <w:tcW w:w="1836" w:type="dxa"/>
            <w:vAlign w:val="center"/>
          </w:tcPr>
          <w:p w14:paraId="7D17EEB9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5222B">
              <w:rPr>
                <w:sz w:val="18"/>
                <w:szCs w:val="18"/>
                <w:lang w:eastAsia="en-GB"/>
              </w:rPr>
              <w:t>87,58</w:t>
            </w:r>
          </w:p>
        </w:tc>
      </w:tr>
    </w:tbl>
    <w:p w14:paraId="795F0688" w14:textId="77777777" w:rsidR="009F1F5A" w:rsidRPr="0055222B" w:rsidRDefault="009F1F5A" w:rsidP="009F1F5A">
      <w:pPr>
        <w:spacing w:line="360" w:lineRule="auto"/>
        <w:jc w:val="both"/>
        <w:rPr>
          <w:i/>
          <w:lang w:eastAsia="en-GB"/>
        </w:rPr>
      </w:pPr>
    </w:p>
    <w:p w14:paraId="4D8A947A" w14:textId="77777777" w:rsidR="009F1F5A" w:rsidRPr="0055222B" w:rsidRDefault="009F1F5A" w:rsidP="009F1F5A">
      <w:pPr>
        <w:spacing w:line="360" w:lineRule="auto"/>
        <w:jc w:val="both"/>
      </w:pPr>
      <w:r w:rsidRPr="0055222B">
        <w:t>Ova aktivnost sastoji se od rashoda za sljedeće izvore:</w:t>
      </w:r>
    </w:p>
    <w:p w14:paraId="586EFCF0" w14:textId="07EC807A" w:rsidR="009F1F5A" w:rsidRPr="0055222B" w:rsidRDefault="009F1F5A" w:rsidP="009F1F5A">
      <w:pPr>
        <w:pStyle w:val="Odlomakpopisa"/>
        <w:spacing w:line="360" w:lineRule="auto"/>
        <w:jc w:val="both"/>
      </w:pPr>
      <w:r w:rsidRPr="0055222B">
        <w:rPr>
          <w:b/>
        </w:rPr>
        <w:t>Izvora 31</w:t>
      </w:r>
      <w:r w:rsidRPr="0055222B">
        <w:t xml:space="preserve"> Vlastiti prihodi – rashodi iz izvora 31 realizirani su za </w:t>
      </w:r>
      <w:r w:rsidR="00B70479" w:rsidRPr="0055222B">
        <w:t>50,48</w:t>
      </w:r>
      <w:r w:rsidRPr="0055222B">
        <w:t xml:space="preserve"> % </w:t>
      </w:r>
      <w:r w:rsidR="00B70479" w:rsidRPr="0055222B">
        <w:t>manje</w:t>
      </w:r>
      <w:r w:rsidRPr="0055222B">
        <w:t xml:space="preserve"> od planiranih. Ovi rashodi ovise o dinamici naplate i realizacije programa cjeloživotnog obrazovanja koji se provode na Fakultetu.</w:t>
      </w:r>
    </w:p>
    <w:p w14:paraId="34EA5D41" w14:textId="6BEEC052" w:rsidR="009F1F5A" w:rsidRPr="0055222B" w:rsidRDefault="009F1F5A" w:rsidP="009F1F5A">
      <w:pPr>
        <w:pStyle w:val="Odlomakpopisa"/>
        <w:spacing w:line="360" w:lineRule="auto"/>
        <w:jc w:val="both"/>
      </w:pPr>
      <w:r w:rsidRPr="0055222B">
        <w:rPr>
          <w:b/>
        </w:rPr>
        <w:t>Izvora 43</w:t>
      </w:r>
      <w:r w:rsidRPr="0055222B">
        <w:t xml:space="preserve"> Ostali Prihodi za posebne namjene – rashodi iz izvora 43 realizirani su u nešto </w:t>
      </w:r>
      <w:r w:rsidR="00B70479" w:rsidRPr="0055222B">
        <w:t>većem</w:t>
      </w:r>
      <w:r w:rsidRPr="0055222B">
        <w:t xml:space="preserve"> iznosu od planiranih, indeks izvršenja </w:t>
      </w:r>
      <w:r w:rsidR="00B70479" w:rsidRPr="0055222B">
        <w:t>102,54</w:t>
      </w:r>
      <w:r w:rsidRPr="0055222B">
        <w:t xml:space="preserve"> %</w:t>
      </w:r>
      <w:r w:rsidR="0047667A" w:rsidRPr="0055222B">
        <w:t xml:space="preserve"> što je rezultiralo uravnoteženju izvršenja i financijskog plana za 2024. godinu za ovu aktivnost</w:t>
      </w:r>
    </w:p>
    <w:p w14:paraId="1E0846D4" w14:textId="160269CE" w:rsidR="009F1F5A" w:rsidRPr="0055222B" w:rsidRDefault="009F1F5A" w:rsidP="0047667A">
      <w:pPr>
        <w:pStyle w:val="Odlomakpopisa"/>
        <w:spacing w:line="360" w:lineRule="auto"/>
        <w:jc w:val="both"/>
      </w:pPr>
      <w:r w:rsidRPr="0055222B">
        <w:rPr>
          <w:b/>
        </w:rPr>
        <w:lastRenderedPageBreak/>
        <w:t>Izvora 52</w:t>
      </w:r>
      <w:r w:rsidRPr="0055222B">
        <w:t xml:space="preserve">  - Ostale pomoći – rashodi izvora 52 izvršeni su u </w:t>
      </w:r>
      <w:r w:rsidR="0047667A" w:rsidRPr="0055222B">
        <w:t>manjem  iznosu od planiranih</w:t>
      </w:r>
      <w:r w:rsidRPr="0055222B">
        <w:t xml:space="preserve">, indeks </w:t>
      </w:r>
      <w:r w:rsidR="0047667A" w:rsidRPr="0055222B">
        <w:t>83,33</w:t>
      </w:r>
      <w:r w:rsidRPr="0055222B">
        <w:t xml:space="preserve"> %. Pokriće ovih rashoda osigurano je na temelju prijenosa sredstava proračunskih korisnika istog proračuna i pomoći proračunskim korisnicima iz proračuna koji im nije nadležan. Iz ovoga izvora financirani su materijalni rashodi i rashodi za zaposlene. Navedeni rashodi najvećim dijelom se odnose na financiranje izvanrednog prijediplomskog studija ranog i predškolskog odgoja i obrazovanja</w:t>
      </w:r>
      <w:r w:rsidR="0047667A" w:rsidRPr="0055222B">
        <w:t xml:space="preserve"> u Slatini. Također, na ovoj poziciji ostvareni su rashodi financirani na temelju prijenosa sredstava iz proračuna jedinica lokalne uprave i samouprave za </w:t>
      </w:r>
      <w:r w:rsidRPr="0055222B">
        <w:t>projekte i aktivnosti koj</w:t>
      </w:r>
      <w:r w:rsidR="0047667A" w:rsidRPr="0055222B">
        <w:t>e</w:t>
      </w:r>
      <w:r w:rsidRPr="0055222B">
        <w:t xml:space="preserve"> su</w:t>
      </w:r>
      <w:r w:rsidR="0047667A" w:rsidRPr="0055222B">
        <w:t xml:space="preserve"> realizirane tijekom 2024. godine.</w:t>
      </w:r>
    </w:p>
    <w:p w14:paraId="3E92000B" w14:textId="77777777" w:rsidR="009F1F5A" w:rsidRPr="0055222B" w:rsidRDefault="009F1F5A" w:rsidP="009F1F5A">
      <w:pPr>
        <w:spacing w:line="360" w:lineRule="auto"/>
        <w:ind w:left="708"/>
        <w:jc w:val="both"/>
      </w:pPr>
      <w:r w:rsidRPr="0055222B">
        <w:rPr>
          <w:b/>
        </w:rPr>
        <w:t>Izvora  61</w:t>
      </w:r>
      <w:r w:rsidRPr="0055222B">
        <w:t xml:space="preserve"> – Donacije rashodi – pokriće rashoda na ovoj poziciji osigurano je ostvarenjem izvršenja prihoda na istoj poziciji. Na ovoj poziciji financiraju se materijalni rashodi koji se odnose na izdavanje knjiga i organizaciju skupova. Iznos na ovoj poziciji nije značajan, a ostvaren je od donacija fizičkih osoba, neprofitnih organizacija i trgovačkih društava.</w:t>
      </w:r>
    </w:p>
    <w:p w14:paraId="02187559" w14:textId="77777777" w:rsidR="009F1F5A" w:rsidRPr="0055222B" w:rsidRDefault="009F1F5A" w:rsidP="009F1F5A">
      <w:pPr>
        <w:spacing w:line="360" w:lineRule="auto"/>
        <w:jc w:val="both"/>
        <w:rPr>
          <w:lang w:eastAsia="en-GB"/>
        </w:rPr>
      </w:pPr>
    </w:p>
    <w:p w14:paraId="7F5A9884" w14:textId="77777777" w:rsidR="009F1F5A" w:rsidRPr="0055222B" w:rsidRDefault="009F1F5A" w:rsidP="009F1F5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eastAsia="Calibri"/>
          <w:b/>
          <w:sz w:val="28"/>
        </w:rPr>
      </w:pPr>
      <w:r w:rsidRPr="0055222B">
        <w:rPr>
          <w:rFonts w:eastAsia="Calibri"/>
          <w:b/>
          <w:sz w:val="28"/>
        </w:rPr>
        <w:t>A679071 EU projekti Sveučilišta u Osijeku (iz evidencijskih prihoda)</w:t>
      </w:r>
    </w:p>
    <w:p w14:paraId="519A0135" w14:textId="3885F378" w:rsidR="009F1F5A" w:rsidRPr="0055222B" w:rsidRDefault="009F1F5A" w:rsidP="009F1F5A">
      <w:pPr>
        <w:spacing w:line="360" w:lineRule="auto"/>
        <w:jc w:val="both"/>
        <w:rPr>
          <w:noProof/>
        </w:rPr>
      </w:pPr>
      <w:r w:rsidRPr="0055222B">
        <w:t>Rashode ove aktivnosti čine rashodi za stručno usavršavanje zaposlenika. Rashodi projekta izvršeni su sukladno</w:t>
      </w:r>
      <w:r w:rsidRPr="0055222B">
        <w:rPr>
          <w:noProof/>
        </w:rPr>
        <w:t xml:space="preserve"> primljenom prijenosu sredstvava Sveučilišta Josipa Jurja Strossmayera, odnosno prijavama na program mobilnosti, a temeljem Ugovora o međufaku</w:t>
      </w:r>
      <w:r w:rsidR="00FB01A3">
        <w:rPr>
          <w:noProof/>
        </w:rPr>
        <w:t>l</w:t>
      </w:r>
      <w:r w:rsidRPr="0055222B">
        <w:rPr>
          <w:noProof/>
        </w:rPr>
        <w:t>tetskoj suradnji Agencije za znanost i visoko obrazovanje i Erasmus+ program mobilnosti.</w:t>
      </w:r>
    </w:p>
    <w:p w14:paraId="1C2D2566" w14:textId="77777777" w:rsidR="009F1F5A" w:rsidRPr="0055222B" w:rsidRDefault="009F1F5A" w:rsidP="009F1F5A">
      <w:pPr>
        <w:spacing w:line="360" w:lineRule="auto"/>
        <w:jc w:val="both"/>
        <w:rPr>
          <w:lang w:eastAsia="en-GB"/>
        </w:rPr>
      </w:pPr>
    </w:p>
    <w:tbl>
      <w:tblPr>
        <w:tblStyle w:val="Svijetlareetkatablice"/>
        <w:tblW w:w="6941" w:type="dxa"/>
        <w:jc w:val="center"/>
        <w:tblLook w:val="04A0" w:firstRow="1" w:lastRow="0" w:firstColumn="1" w:lastColumn="0" w:noHBand="0" w:noVBand="1"/>
      </w:tblPr>
      <w:tblGrid>
        <w:gridCol w:w="1759"/>
        <w:gridCol w:w="1330"/>
        <w:gridCol w:w="2016"/>
        <w:gridCol w:w="1836"/>
      </w:tblGrid>
      <w:tr w:rsidR="0055222B" w:rsidRPr="0055222B" w14:paraId="468A4A97" w14:textId="77777777" w:rsidTr="004D19F3">
        <w:trPr>
          <w:jc w:val="center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0B00770D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Aktivnost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2BE3DBA8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Izvorni plan ili rebalans 2024.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5F6E7CC5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Ostvarenje/Izvršenje 1.-12.2024.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CB56902" w14:textId="77777777" w:rsidR="009F1F5A" w:rsidRPr="0055222B" w:rsidRDefault="009F1F5A" w:rsidP="004D19F3">
            <w:pPr>
              <w:spacing w:line="360" w:lineRule="auto"/>
              <w:jc w:val="center"/>
              <w:rPr>
                <w:b/>
                <w:sz w:val="20"/>
                <w:lang w:eastAsia="en-GB"/>
              </w:rPr>
            </w:pPr>
            <w:r w:rsidRPr="0055222B">
              <w:rPr>
                <w:b/>
                <w:sz w:val="20"/>
                <w:lang w:eastAsia="en-GB"/>
              </w:rPr>
              <w:t>Indeks</w:t>
            </w:r>
          </w:p>
        </w:tc>
      </w:tr>
      <w:tr w:rsidR="009F1F5A" w:rsidRPr="0055222B" w14:paraId="6947E149" w14:textId="77777777" w:rsidTr="004D19F3">
        <w:trPr>
          <w:jc w:val="center"/>
        </w:trPr>
        <w:tc>
          <w:tcPr>
            <w:tcW w:w="1759" w:type="dxa"/>
            <w:vAlign w:val="center"/>
          </w:tcPr>
          <w:p w14:paraId="425C6D07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A679071</w:t>
            </w:r>
          </w:p>
          <w:p w14:paraId="6ECF8E24" w14:textId="77777777" w:rsidR="009F1F5A" w:rsidRPr="0055222B" w:rsidRDefault="009F1F5A" w:rsidP="004D19F3">
            <w:pPr>
              <w:spacing w:line="360" w:lineRule="auto"/>
              <w:jc w:val="center"/>
              <w:rPr>
                <w:sz w:val="20"/>
                <w:lang w:eastAsia="en-GB"/>
              </w:rPr>
            </w:pPr>
            <w:r w:rsidRPr="0055222B">
              <w:rPr>
                <w:sz w:val="20"/>
                <w:lang w:eastAsia="en-GB"/>
              </w:rPr>
              <w:t>EU projekti Sveučilišta u Osijeku (iz evidencijskih prihoda)</w:t>
            </w:r>
          </w:p>
        </w:tc>
        <w:tc>
          <w:tcPr>
            <w:tcW w:w="1330" w:type="dxa"/>
            <w:vAlign w:val="center"/>
          </w:tcPr>
          <w:p w14:paraId="2B8CEACC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14.224,00</w:t>
            </w:r>
          </w:p>
        </w:tc>
        <w:tc>
          <w:tcPr>
            <w:tcW w:w="2016" w:type="dxa"/>
            <w:vAlign w:val="center"/>
          </w:tcPr>
          <w:p w14:paraId="5818675B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 w:rsidRPr="0055222B">
              <w:rPr>
                <w:sz w:val="18"/>
                <w:szCs w:val="18"/>
                <w:lang w:eastAsia="en-GB"/>
              </w:rPr>
              <w:t>19,342,00</w:t>
            </w:r>
          </w:p>
        </w:tc>
        <w:tc>
          <w:tcPr>
            <w:tcW w:w="1836" w:type="dxa"/>
            <w:vAlign w:val="center"/>
          </w:tcPr>
          <w:p w14:paraId="3B41E055" w14:textId="77777777" w:rsidR="009F1F5A" w:rsidRPr="0055222B" w:rsidRDefault="009F1F5A" w:rsidP="004D19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5222B">
              <w:rPr>
                <w:sz w:val="18"/>
                <w:szCs w:val="18"/>
                <w:lang w:eastAsia="en-GB"/>
              </w:rPr>
              <w:t>135,98</w:t>
            </w:r>
          </w:p>
        </w:tc>
      </w:tr>
    </w:tbl>
    <w:p w14:paraId="059AA782" w14:textId="77777777" w:rsidR="009F1F5A" w:rsidRPr="0055222B" w:rsidRDefault="009F1F5A" w:rsidP="009F1F5A">
      <w:pPr>
        <w:spacing w:line="360" w:lineRule="auto"/>
        <w:jc w:val="both"/>
        <w:rPr>
          <w:noProof/>
        </w:rPr>
      </w:pPr>
    </w:p>
    <w:p w14:paraId="34FBBE1B" w14:textId="77777777" w:rsidR="009F1F5A" w:rsidRPr="0055222B" w:rsidRDefault="009F1F5A" w:rsidP="009F1F5A">
      <w:pPr>
        <w:jc w:val="both"/>
      </w:pPr>
    </w:p>
    <w:p w14:paraId="38B8F40A" w14:textId="77777777" w:rsidR="009F1F5A" w:rsidRPr="0055222B" w:rsidRDefault="009F1F5A" w:rsidP="009F1F5A">
      <w:pPr>
        <w:ind w:left="6372"/>
        <w:jc w:val="both"/>
        <w:rPr>
          <w:b/>
        </w:rPr>
      </w:pPr>
      <w:r w:rsidRPr="0055222B">
        <w:rPr>
          <w:b/>
        </w:rPr>
        <w:t>DEKANICA</w:t>
      </w:r>
    </w:p>
    <w:p w14:paraId="2A77027E" w14:textId="6DBF32ED" w:rsidR="009F1F5A" w:rsidRPr="0055222B" w:rsidRDefault="009F1F5A" w:rsidP="009F1F5A">
      <w:pPr>
        <w:ind w:left="6372"/>
        <w:jc w:val="both"/>
        <w:rPr>
          <w:b/>
        </w:rPr>
      </w:pPr>
    </w:p>
    <w:p w14:paraId="5B118E28" w14:textId="77777777" w:rsidR="009F1F5A" w:rsidRPr="0055222B" w:rsidRDefault="009F1F5A" w:rsidP="009F1F5A">
      <w:pPr>
        <w:ind w:left="6372"/>
        <w:jc w:val="both"/>
        <w:rPr>
          <w:b/>
        </w:rPr>
      </w:pPr>
    </w:p>
    <w:p w14:paraId="042900A4" w14:textId="6961F349" w:rsidR="00310ADE" w:rsidRPr="0055222B" w:rsidRDefault="009F1F5A" w:rsidP="009F1F5A">
      <w:pPr>
        <w:ind w:left="4956" w:firstLine="708"/>
        <w:jc w:val="both"/>
      </w:pPr>
      <w:r w:rsidRPr="0055222B">
        <w:t xml:space="preserve">prof. dr. sc. Emina </w:t>
      </w:r>
      <w:proofErr w:type="spellStart"/>
      <w:r w:rsidRPr="0055222B">
        <w:t>Berbić</w:t>
      </w:r>
      <w:proofErr w:type="spellEnd"/>
      <w:r w:rsidRPr="0055222B">
        <w:t xml:space="preserve"> Kolar</w:t>
      </w:r>
    </w:p>
    <w:sectPr w:rsidR="00310ADE" w:rsidRPr="005522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C796" w14:textId="77777777" w:rsidR="00B0606F" w:rsidRDefault="00B0606F" w:rsidP="00310ADE">
      <w:r>
        <w:separator/>
      </w:r>
    </w:p>
  </w:endnote>
  <w:endnote w:type="continuationSeparator" w:id="0">
    <w:p w14:paraId="14F3A587" w14:textId="77777777" w:rsidR="00B0606F" w:rsidRDefault="00B0606F" w:rsidP="003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62474"/>
      <w:docPartObj>
        <w:docPartGallery w:val="Page Numbers (Bottom of Page)"/>
        <w:docPartUnique/>
      </w:docPartObj>
    </w:sdtPr>
    <w:sdtEndPr/>
    <w:sdtContent>
      <w:p w14:paraId="6F660DCE" w14:textId="7B48120A" w:rsidR="00310ADE" w:rsidRDefault="00310AD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0490F" w14:textId="77777777" w:rsidR="00310ADE" w:rsidRDefault="00310A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A2A6" w14:textId="77777777" w:rsidR="00B0606F" w:rsidRDefault="00B0606F" w:rsidP="00310ADE">
      <w:r>
        <w:separator/>
      </w:r>
    </w:p>
  </w:footnote>
  <w:footnote w:type="continuationSeparator" w:id="0">
    <w:p w14:paraId="6DA4A1A1" w14:textId="77777777" w:rsidR="00B0606F" w:rsidRDefault="00B0606F" w:rsidP="0031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E7E90"/>
    <w:multiLevelType w:val="hybridMultilevel"/>
    <w:tmpl w:val="A5589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0E5E"/>
    <w:multiLevelType w:val="hybridMultilevel"/>
    <w:tmpl w:val="1AD85A1E"/>
    <w:lvl w:ilvl="0" w:tplc="1CC6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EBC6EEE"/>
    <w:multiLevelType w:val="hybridMultilevel"/>
    <w:tmpl w:val="1474EBB6"/>
    <w:lvl w:ilvl="0" w:tplc="2C38A5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A59B8"/>
    <w:multiLevelType w:val="hybridMultilevel"/>
    <w:tmpl w:val="51163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66C3C"/>
    <w:multiLevelType w:val="hybridMultilevel"/>
    <w:tmpl w:val="31085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84A0D"/>
    <w:rsid w:val="002051A7"/>
    <w:rsid w:val="002A636A"/>
    <w:rsid w:val="002B0352"/>
    <w:rsid w:val="002C0CF9"/>
    <w:rsid w:val="00310ADE"/>
    <w:rsid w:val="00313E43"/>
    <w:rsid w:val="00315213"/>
    <w:rsid w:val="00411ABE"/>
    <w:rsid w:val="004214DC"/>
    <w:rsid w:val="00444B52"/>
    <w:rsid w:val="0047667A"/>
    <w:rsid w:val="0055222B"/>
    <w:rsid w:val="005605EC"/>
    <w:rsid w:val="00563390"/>
    <w:rsid w:val="006174A3"/>
    <w:rsid w:val="006972C4"/>
    <w:rsid w:val="007229B7"/>
    <w:rsid w:val="007315C0"/>
    <w:rsid w:val="00742B15"/>
    <w:rsid w:val="00753AEA"/>
    <w:rsid w:val="007D0038"/>
    <w:rsid w:val="00824091"/>
    <w:rsid w:val="008B75AE"/>
    <w:rsid w:val="009D31E6"/>
    <w:rsid w:val="009F1F5A"/>
    <w:rsid w:val="00A5587B"/>
    <w:rsid w:val="00A6496F"/>
    <w:rsid w:val="00B0354C"/>
    <w:rsid w:val="00B0606F"/>
    <w:rsid w:val="00B70479"/>
    <w:rsid w:val="00C55335"/>
    <w:rsid w:val="00CD4E29"/>
    <w:rsid w:val="00CF0704"/>
    <w:rsid w:val="00D77DB2"/>
    <w:rsid w:val="00D870AD"/>
    <w:rsid w:val="00D872D0"/>
    <w:rsid w:val="00DD583D"/>
    <w:rsid w:val="00E67CF1"/>
    <w:rsid w:val="00E91EE2"/>
    <w:rsid w:val="00E96640"/>
    <w:rsid w:val="00EB2BF5"/>
    <w:rsid w:val="00EB6F4C"/>
    <w:rsid w:val="00EC6517"/>
    <w:rsid w:val="00ED1490"/>
    <w:rsid w:val="00F32732"/>
    <w:rsid w:val="00F4413D"/>
    <w:rsid w:val="00F96A6C"/>
    <w:rsid w:val="00FB01A3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7173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9D31E6"/>
    <w:pPr>
      <w:ind w:left="708"/>
    </w:pPr>
  </w:style>
  <w:style w:type="character" w:styleId="Naslovknjige">
    <w:name w:val="Book Title"/>
    <w:uiPriority w:val="33"/>
    <w:qFormat/>
    <w:rsid w:val="009D31E6"/>
    <w:rPr>
      <w:b/>
      <w:bCs/>
      <w:smallCap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1E6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reetkatablice">
    <w:name w:val="Grid Table Light"/>
    <w:basedOn w:val="Obinatablica"/>
    <w:uiPriority w:val="40"/>
    <w:rsid w:val="009F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9F1F5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4A8C-CBE0-4D47-928D-49A01D66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Jozo</cp:lastModifiedBy>
  <cp:revision>26</cp:revision>
  <cp:lastPrinted>2025-03-14T08:45:00Z</cp:lastPrinted>
  <dcterms:created xsi:type="dcterms:W3CDTF">2023-04-26T07:15:00Z</dcterms:created>
  <dcterms:modified xsi:type="dcterms:W3CDTF">2025-03-14T08:46:00Z</dcterms:modified>
</cp:coreProperties>
</file>