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Y="-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E731C7" w:rsidRPr="00E731C7" w14:paraId="2873FF8F" w14:textId="77777777" w:rsidTr="00B0354C">
        <w:tc>
          <w:tcPr>
            <w:tcW w:w="3539" w:type="dxa"/>
          </w:tcPr>
          <w:p w14:paraId="1C15295C" w14:textId="77777777" w:rsidR="00B0354C" w:rsidRPr="00E731C7" w:rsidRDefault="00B0354C" w:rsidP="00B0354C">
            <w:pPr>
              <w:ind w:left="-115"/>
            </w:pPr>
            <w:r w:rsidRPr="00E731C7">
              <w:rPr>
                <w:rFonts w:asciiTheme="minorHAnsi" w:hAnsiTheme="minorHAnsi"/>
                <w:noProof/>
              </w:rPr>
              <w:drawing>
                <wp:inline distT="0" distB="0" distL="0" distR="0" wp14:anchorId="1BB99ED5" wp14:editId="3B0F1185">
                  <wp:extent cx="2165389" cy="650152"/>
                  <wp:effectExtent l="0" t="0" r="635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2" r="2412" b="11165"/>
                          <a:stretch/>
                        </pic:blipFill>
                        <pic:spPr bwMode="auto">
                          <a:xfrm>
                            <a:off x="0" y="0"/>
                            <a:ext cx="2269440" cy="681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72E0784C" w14:textId="77777777" w:rsidR="00B0354C" w:rsidRPr="00E731C7" w:rsidRDefault="00B0354C" w:rsidP="00B0354C"/>
        </w:tc>
      </w:tr>
    </w:tbl>
    <w:p w14:paraId="051FE5D9" w14:textId="77777777" w:rsidR="00B0354C" w:rsidRPr="00E731C7" w:rsidRDefault="00B0354C" w:rsidP="00B0354C">
      <w:pPr>
        <w:rPr>
          <w:rFonts w:asciiTheme="minorHAnsi" w:hAnsiTheme="minorHAnsi" w:cstheme="minorHAnsi"/>
          <w:sz w:val="14"/>
        </w:rPr>
      </w:pPr>
      <w:r w:rsidRPr="00E731C7">
        <w:t xml:space="preserve">               </w:t>
      </w:r>
      <w:r w:rsidRPr="00E731C7">
        <w:rPr>
          <w:rFonts w:asciiTheme="minorHAnsi" w:hAnsiTheme="minorHAnsi" w:cstheme="minorHAnsi"/>
          <w:sz w:val="14"/>
        </w:rPr>
        <w:t xml:space="preserve">-------------------------------------------------------------------------------------------------------------------------------------------------------------------------------------------- </w:t>
      </w:r>
    </w:p>
    <w:p w14:paraId="33C16197" w14:textId="77777777" w:rsidR="00B0354C" w:rsidRPr="00E731C7" w:rsidRDefault="00B0354C" w:rsidP="00B0354C">
      <w:pPr>
        <w:rPr>
          <w:rFonts w:asciiTheme="minorHAnsi" w:hAnsiTheme="minorHAnsi" w:cstheme="minorHAnsi"/>
          <w:sz w:val="14"/>
        </w:rPr>
      </w:pPr>
      <w:r w:rsidRPr="00E731C7">
        <w:rPr>
          <w:rFonts w:asciiTheme="minorHAnsi" w:hAnsiTheme="minorHAnsi" w:cstheme="minorHAnsi"/>
          <w:sz w:val="14"/>
        </w:rPr>
        <w:t xml:space="preserve">                             31000 Osijek, Ulica cara </w:t>
      </w:r>
      <w:proofErr w:type="spellStart"/>
      <w:r w:rsidRPr="00E731C7">
        <w:rPr>
          <w:rFonts w:asciiTheme="minorHAnsi" w:hAnsiTheme="minorHAnsi" w:cstheme="minorHAnsi"/>
          <w:sz w:val="14"/>
        </w:rPr>
        <w:t>Hadrijana</w:t>
      </w:r>
      <w:proofErr w:type="spellEnd"/>
      <w:r w:rsidRPr="00E731C7">
        <w:rPr>
          <w:rFonts w:asciiTheme="minorHAnsi" w:hAnsiTheme="minorHAnsi" w:cstheme="minorHAnsi"/>
          <w:sz w:val="14"/>
        </w:rPr>
        <w:t xml:space="preserve"> 10  +385 31 321 700 ▪ helpdesk@foozos.hr ▪ www.foozos.hr  </w:t>
      </w:r>
    </w:p>
    <w:p w14:paraId="1CC9BAB2" w14:textId="77777777" w:rsidR="00B0354C" w:rsidRPr="00E731C7" w:rsidRDefault="00B0354C" w:rsidP="00B0354C">
      <w:pPr>
        <w:rPr>
          <w:rFonts w:asciiTheme="minorHAnsi" w:hAnsiTheme="minorHAnsi" w:cstheme="minorHAnsi"/>
          <w:sz w:val="14"/>
        </w:rPr>
      </w:pPr>
      <w:r w:rsidRPr="00E731C7">
        <w:rPr>
          <w:rFonts w:asciiTheme="minorHAnsi" w:hAnsiTheme="minorHAnsi" w:cstheme="minorHAnsi"/>
          <w:sz w:val="14"/>
        </w:rPr>
        <w:t xml:space="preserve">                             OIB: 28082679513 ▪ MB: 14048</w:t>
      </w:r>
      <w:r w:rsidR="00963B5C" w:rsidRPr="00E731C7">
        <w:rPr>
          <w:rFonts w:asciiTheme="minorHAnsi" w:hAnsiTheme="minorHAnsi" w:cstheme="minorHAnsi"/>
          <w:sz w:val="14"/>
        </w:rPr>
        <w:t>81 ▪ IBAN: HR0823600001103081122</w:t>
      </w:r>
    </w:p>
    <w:p w14:paraId="020BF42B" w14:textId="77777777" w:rsidR="00B0354C" w:rsidRPr="00E731C7" w:rsidRDefault="00B0354C" w:rsidP="00B0354C">
      <w:pPr>
        <w:rPr>
          <w:rFonts w:asciiTheme="minorHAnsi" w:hAnsiTheme="minorHAnsi" w:cstheme="minorHAnsi"/>
          <w:sz w:val="14"/>
        </w:rPr>
      </w:pPr>
    </w:p>
    <w:p w14:paraId="6052B1AC" w14:textId="210ACAA4" w:rsidR="00A95323" w:rsidRPr="0082290D" w:rsidRDefault="00A95323" w:rsidP="00A95323">
      <w:pPr>
        <w:rPr>
          <w:bCs/>
        </w:rPr>
      </w:pPr>
      <w:r w:rsidRPr="0082290D">
        <w:rPr>
          <w:bCs/>
        </w:rPr>
        <w:t>KLASA:</w:t>
      </w:r>
    </w:p>
    <w:p w14:paraId="2C197264" w14:textId="7D60A4ED" w:rsidR="00497BD3" w:rsidRPr="0082290D" w:rsidRDefault="00A95323" w:rsidP="00A95323">
      <w:pPr>
        <w:rPr>
          <w:bCs/>
        </w:rPr>
      </w:pPr>
      <w:r w:rsidRPr="0082290D">
        <w:rPr>
          <w:bCs/>
        </w:rPr>
        <w:t>URBROJ:</w:t>
      </w:r>
    </w:p>
    <w:p w14:paraId="67462CFC" w14:textId="6888419D" w:rsidR="00497BD3" w:rsidRDefault="00497BD3" w:rsidP="00497BD3">
      <w:r w:rsidRPr="00103B65">
        <w:t xml:space="preserve">Osijek, </w:t>
      </w:r>
      <w:r w:rsidR="005419D4">
        <w:t>2</w:t>
      </w:r>
      <w:r w:rsidR="00BA5E49">
        <w:t>2</w:t>
      </w:r>
      <w:r w:rsidRPr="00103B65">
        <w:t xml:space="preserve">. </w:t>
      </w:r>
      <w:r w:rsidR="00BA5E49">
        <w:t>prosinca</w:t>
      </w:r>
      <w:r w:rsidRPr="00103B65">
        <w:t xml:space="preserve"> 202</w:t>
      </w:r>
      <w:r w:rsidR="00DD03B2">
        <w:t>5</w:t>
      </w:r>
      <w:r w:rsidRPr="00103B65">
        <w:t>.</w:t>
      </w:r>
    </w:p>
    <w:p w14:paraId="4E4A140D" w14:textId="0AF025C5" w:rsidR="00BA5E49" w:rsidRDefault="00BA5E49" w:rsidP="00497BD3"/>
    <w:p w14:paraId="52A0EF0D" w14:textId="77777777" w:rsidR="00126A45" w:rsidRPr="00F50FDE" w:rsidRDefault="00126A45" w:rsidP="00126A45">
      <w:r w:rsidRPr="00F50FDE">
        <w:rPr>
          <w:b/>
        </w:rPr>
        <w:t>PRORAČUNSKI KORISNIK:</w:t>
      </w:r>
      <w:r w:rsidRPr="00F50FDE">
        <w:t xml:space="preserve"> SVEUČILIŠTE JOSIPA JURJA STROSSMAYERA U OSIJEKU FAKULTET ZA ODGOJNE I OBRAZOVNE ZNANOSTI</w:t>
      </w:r>
    </w:p>
    <w:p w14:paraId="02FF96E0" w14:textId="77777777" w:rsidR="00126A45" w:rsidRPr="00F50FDE" w:rsidRDefault="00126A45" w:rsidP="00126A45">
      <w:r w:rsidRPr="00F50FDE">
        <w:rPr>
          <w:b/>
        </w:rPr>
        <w:t>NADLEŽNO MINISTARSTVO:</w:t>
      </w:r>
      <w:r w:rsidRPr="00F50FDE">
        <w:t xml:space="preserve"> MINISTARSTVO ZNANOSTI</w:t>
      </w:r>
      <w:r>
        <w:t>,</w:t>
      </w:r>
      <w:r w:rsidRPr="00F50FDE">
        <w:t xml:space="preserve"> OBRAZOVANJA</w:t>
      </w:r>
      <w:r>
        <w:t xml:space="preserve"> I MLADIH</w:t>
      </w:r>
    </w:p>
    <w:p w14:paraId="224BB7FD" w14:textId="77777777" w:rsidR="00126A45" w:rsidRPr="00F50FDE" w:rsidRDefault="00126A45" w:rsidP="00126A45">
      <w:r w:rsidRPr="00F50FDE">
        <w:rPr>
          <w:b/>
        </w:rPr>
        <w:t>OIB:</w:t>
      </w:r>
      <w:r w:rsidRPr="00F50FDE">
        <w:t xml:space="preserve"> 28082679513</w:t>
      </w:r>
    </w:p>
    <w:p w14:paraId="4DDE299F" w14:textId="77777777" w:rsidR="00126A45" w:rsidRPr="00F50FDE" w:rsidRDefault="00126A45" w:rsidP="00126A45">
      <w:r w:rsidRPr="00F50FDE">
        <w:rPr>
          <w:b/>
        </w:rPr>
        <w:t>RAZINA:</w:t>
      </w:r>
      <w:r w:rsidRPr="00F50FDE">
        <w:t xml:space="preserve"> 11</w:t>
      </w:r>
    </w:p>
    <w:p w14:paraId="5EEF98E5" w14:textId="77777777" w:rsidR="00126A45" w:rsidRPr="00F50FDE" w:rsidRDefault="00126A45" w:rsidP="00126A45">
      <w:r w:rsidRPr="00F50FDE">
        <w:rPr>
          <w:b/>
        </w:rPr>
        <w:t xml:space="preserve">ŠIFRA DJELATNOSTI: </w:t>
      </w:r>
      <w:r w:rsidRPr="00F50FDE">
        <w:t>8542</w:t>
      </w:r>
    </w:p>
    <w:p w14:paraId="28C964C1" w14:textId="77777777" w:rsidR="00126A45" w:rsidRDefault="00126A45" w:rsidP="00126A45">
      <w:pPr>
        <w:spacing w:after="240"/>
      </w:pPr>
      <w:r w:rsidRPr="00F50FDE">
        <w:rPr>
          <w:b/>
        </w:rPr>
        <w:t>RKP:</w:t>
      </w:r>
      <w:r w:rsidRPr="00F50FDE">
        <w:t xml:space="preserve"> 22486</w:t>
      </w:r>
    </w:p>
    <w:p w14:paraId="7D5BB9A3" w14:textId="77777777" w:rsidR="00126A45" w:rsidRDefault="00126A45" w:rsidP="00126A45">
      <w:pPr>
        <w:jc w:val="center"/>
        <w:rPr>
          <w:b/>
        </w:rPr>
      </w:pPr>
      <w:r w:rsidRPr="00F50FDE">
        <w:rPr>
          <w:b/>
        </w:rPr>
        <w:t xml:space="preserve">OBRAZLOŽENJE OPĆEG DIJELA </w:t>
      </w:r>
      <w:r>
        <w:rPr>
          <w:b/>
        </w:rPr>
        <w:t xml:space="preserve">IZMJENA I DOPUNA </w:t>
      </w:r>
      <w:r w:rsidRPr="00F50FDE">
        <w:rPr>
          <w:b/>
        </w:rPr>
        <w:t xml:space="preserve">FINANCIJSKOG PLANA </w:t>
      </w:r>
      <w:r>
        <w:rPr>
          <w:b/>
        </w:rPr>
        <w:t>ZA 2025.</w:t>
      </w:r>
      <w:r w:rsidRPr="00F50FDE">
        <w:rPr>
          <w:b/>
        </w:rPr>
        <w:t xml:space="preserve"> GODINU</w:t>
      </w:r>
    </w:p>
    <w:p w14:paraId="42ED9F6C" w14:textId="77777777" w:rsidR="00126A45" w:rsidRPr="00F50FDE" w:rsidRDefault="00126A45" w:rsidP="00126A45">
      <w:pPr>
        <w:jc w:val="center"/>
        <w:rPr>
          <w:b/>
        </w:rPr>
      </w:pPr>
    </w:p>
    <w:p w14:paraId="3109B9CB" w14:textId="77777777" w:rsidR="00126A45" w:rsidRPr="00F2520E" w:rsidRDefault="00126A45" w:rsidP="00126A45">
      <w:pPr>
        <w:jc w:val="both"/>
      </w:pPr>
      <w:r w:rsidRPr="00F2520E">
        <w:t>Fakultet za odgojne i obrazovne znanosti je javno visoko učilište u sastavu Sveučilišta J</w:t>
      </w:r>
      <w:r>
        <w:t>osipa</w:t>
      </w:r>
      <w:r w:rsidRPr="00F2520E">
        <w:t xml:space="preserve"> J</w:t>
      </w:r>
      <w:r>
        <w:t>urja</w:t>
      </w:r>
      <w:r w:rsidRPr="00F2520E">
        <w:t xml:space="preserve"> Strossmayera</w:t>
      </w:r>
      <w:r>
        <w:t xml:space="preserve"> u Osijeku</w:t>
      </w:r>
      <w:r w:rsidRPr="00F2520E">
        <w:t>. Osnovna djelatnost Fakulteta je visoko obrazovanje i znanost. Najvećim d</w:t>
      </w:r>
      <w:r>
        <w:t>i</w:t>
      </w:r>
      <w:r w:rsidRPr="00F2520E">
        <w:t xml:space="preserve">jelom </w:t>
      </w:r>
      <w:r>
        <w:t xml:space="preserve">Fakultet </w:t>
      </w:r>
      <w:r w:rsidRPr="00F2520E">
        <w:t>se financira iz proračuna Republike Hrvatske, a manjim</w:t>
      </w:r>
      <w:r>
        <w:t xml:space="preserve"> dijelom</w:t>
      </w:r>
      <w:r w:rsidRPr="00F2520E">
        <w:t xml:space="preserve"> </w:t>
      </w:r>
      <w:r>
        <w:t xml:space="preserve">iz prihoda ostvarenih </w:t>
      </w:r>
      <w:r w:rsidRPr="00F2520E">
        <w:t>od obavljanja vlastite djelatnosti.</w:t>
      </w:r>
    </w:p>
    <w:p w14:paraId="5D296621" w14:textId="77777777" w:rsidR="00126A45" w:rsidRDefault="00126A45" w:rsidP="00126A45">
      <w:pPr>
        <w:jc w:val="both"/>
      </w:pPr>
      <w:r>
        <w:t xml:space="preserve">Financijskog plana za 2025. </w:t>
      </w:r>
      <w:r w:rsidRPr="00A8303F">
        <w:t>godinu Fakulteta za odgojne i obrazovne znanosti izrađuju se sukladno odredbama Zakona o proračunu ("Narodne novine", br.  144/2021.).</w:t>
      </w:r>
    </w:p>
    <w:p w14:paraId="183FE179" w14:textId="77777777" w:rsidR="00126A45" w:rsidRDefault="00126A45" w:rsidP="00126A45">
      <w:pPr>
        <w:jc w:val="both"/>
      </w:pPr>
    </w:p>
    <w:p w14:paraId="65B99E7F" w14:textId="77777777" w:rsidR="00126A45" w:rsidRPr="00F50FDE" w:rsidRDefault="00126A45" w:rsidP="00126A45">
      <w:pPr>
        <w:spacing w:after="240"/>
        <w:jc w:val="both"/>
        <w:rPr>
          <w:b/>
        </w:rPr>
      </w:pPr>
      <w:r w:rsidRPr="00F50FDE">
        <w:rPr>
          <w:b/>
        </w:rPr>
        <w:t>PRIHODI I PRIMICI</w:t>
      </w:r>
    </w:p>
    <w:p w14:paraId="1D02492D" w14:textId="77777777" w:rsidR="00126A45" w:rsidRDefault="00126A45" w:rsidP="00126A45">
      <w:pPr>
        <w:spacing w:after="240"/>
        <w:jc w:val="both"/>
      </w:pPr>
      <w:r>
        <w:t>Izmjenama i dopunama financijskog plana za 2025. godinu predviđeni su prihodi u ukupnom iznosu 5.625.568</w:t>
      </w:r>
      <w:r w:rsidRPr="00F660CD">
        <w:t>,00 eura.</w:t>
      </w:r>
    </w:p>
    <w:p w14:paraId="7BBE116B" w14:textId="77777777" w:rsidR="00126A45" w:rsidRPr="00126A45" w:rsidRDefault="00126A45" w:rsidP="00126A45">
      <w:pPr>
        <w:jc w:val="both"/>
        <w:rPr>
          <w:b/>
        </w:rPr>
      </w:pPr>
      <w:r w:rsidRPr="00126A45">
        <w:rPr>
          <w:b/>
        </w:rPr>
        <w:t>Struktura planiranih prihoda po izvorima:</w:t>
      </w:r>
    </w:p>
    <w:tbl>
      <w:tblPr>
        <w:tblW w:w="8789" w:type="dxa"/>
        <w:tblLook w:val="04A0" w:firstRow="1" w:lastRow="0" w:firstColumn="1" w:lastColumn="0" w:noHBand="0" w:noVBand="1"/>
      </w:tblPr>
      <w:tblGrid>
        <w:gridCol w:w="3063"/>
        <w:gridCol w:w="1476"/>
        <w:gridCol w:w="2376"/>
        <w:gridCol w:w="1874"/>
      </w:tblGrid>
      <w:tr w:rsidR="00126A45" w:rsidRPr="00F660CD" w14:paraId="2D018256" w14:textId="77777777" w:rsidTr="00225760">
        <w:trPr>
          <w:trHeight w:val="315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406A" w14:textId="77777777" w:rsidR="00126A45" w:rsidRPr="00F660CD" w:rsidRDefault="00126A45" w:rsidP="00225760"/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6F6CD" w14:textId="77777777" w:rsidR="00126A45" w:rsidRPr="00F660CD" w:rsidRDefault="00126A45" w:rsidP="00225760"/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6FD94" w14:textId="77777777" w:rsidR="00126A45" w:rsidRPr="00F660CD" w:rsidRDefault="00126A45" w:rsidP="00225760"/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AC7D8" w14:textId="77777777" w:rsidR="00126A45" w:rsidRPr="00F660CD" w:rsidRDefault="00126A45" w:rsidP="00225760">
            <w:pPr>
              <w:jc w:val="right"/>
            </w:pPr>
            <w:r w:rsidRPr="00F660CD">
              <w:t>eura</w:t>
            </w:r>
          </w:p>
        </w:tc>
      </w:tr>
      <w:tr w:rsidR="00126A45" w:rsidRPr="00F660CD" w14:paraId="45B1235C" w14:textId="77777777" w:rsidTr="00225760">
        <w:trPr>
          <w:trHeight w:val="569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E10E" w14:textId="77777777" w:rsidR="00126A45" w:rsidRPr="00F660CD" w:rsidRDefault="00126A45" w:rsidP="00225760">
            <w:pPr>
              <w:jc w:val="center"/>
              <w:rPr>
                <w:b/>
                <w:bCs/>
              </w:rPr>
            </w:pPr>
            <w:r w:rsidRPr="00F660CD">
              <w:rPr>
                <w:b/>
                <w:bCs/>
              </w:rPr>
              <w:t>Izvor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9853" w14:textId="77777777" w:rsidR="00126A45" w:rsidRPr="00F660CD" w:rsidRDefault="00126A45" w:rsidP="00225760">
            <w:pPr>
              <w:jc w:val="center"/>
              <w:rPr>
                <w:b/>
                <w:bCs/>
              </w:rPr>
            </w:pPr>
            <w:r w:rsidRPr="00F660CD">
              <w:rPr>
                <w:b/>
                <w:bCs/>
              </w:rPr>
              <w:t>Plan 2025.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7182" w14:textId="77777777" w:rsidR="00126A45" w:rsidRPr="00F660CD" w:rsidRDefault="00126A45" w:rsidP="00225760">
            <w:pPr>
              <w:jc w:val="center"/>
              <w:rPr>
                <w:b/>
                <w:bCs/>
              </w:rPr>
            </w:pPr>
            <w:r w:rsidRPr="00F660CD">
              <w:rPr>
                <w:b/>
                <w:bCs/>
              </w:rPr>
              <w:t>Povećanje/smanjenje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5B66" w14:textId="77777777" w:rsidR="00126A45" w:rsidRPr="00F660CD" w:rsidRDefault="00126A45" w:rsidP="00225760">
            <w:pPr>
              <w:jc w:val="center"/>
              <w:rPr>
                <w:b/>
                <w:bCs/>
              </w:rPr>
            </w:pPr>
            <w:r w:rsidRPr="00F660CD">
              <w:rPr>
                <w:b/>
                <w:bCs/>
              </w:rPr>
              <w:t>Novi plan 2025.</w:t>
            </w:r>
          </w:p>
        </w:tc>
      </w:tr>
      <w:tr w:rsidR="00126A45" w:rsidRPr="00F660CD" w14:paraId="16A7E5AD" w14:textId="77777777" w:rsidTr="00225760">
        <w:trPr>
          <w:trHeight w:val="630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48F4" w14:textId="77777777" w:rsidR="00126A45" w:rsidRPr="00F660CD" w:rsidRDefault="00126A45" w:rsidP="00225760">
            <w:r w:rsidRPr="00F660CD">
              <w:t>Opći prihodi i primici</w:t>
            </w:r>
          </w:p>
          <w:p w14:paraId="01498BE4" w14:textId="77777777" w:rsidR="00126A45" w:rsidRPr="00F660CD" w:rsidRDefault="00126A45" w:rsidP="00225760">
            <w:r w:rsidRPr="00F660CD">
              <w:t>(izvor 11)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55BC" w14:textId="77777777" w:rsidR="00126A45" w:rsidRPr="00F660CD" w:rsidRDefault="00126A45" w:rsidP="00225760">
            <w:pPr>
              <w:jc w:val="right"/>
            </w:pPr>
            <w:r w:rsidRPr="00F660CD">
              <w:t>4.015.090,00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F811" w14:textId="77777777" w:rsidR="00126A45" w:rsidRPr="00F660CD" w:rsidRDefault="00126A45" w:rsidP="00225760">
            <w:pPr>
              <w:jc w:val="right"/>
            </w:pPr>
            <w:r>
              <w:t>616.084,00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A9C6" w14:textId="77777777" w:rsidR="00126A45" w:rsidRPr="00F660CD" w:rsidRDefault="00126A45" w:rsidP="00225760">
            <w:pPr>
              <w:jc w:val="right"/>
            </w:pPr>
            <w:r>
              <w:t>4.631.174,00</w:t>
            </w:r>
          </w:p>
        </w:tc>
      </w:tr>
      <w:tr w:rsidR="00126A45" w:rsidRPr="00F660CD" w14:paraId="02F533C0" w14:textId="77777777" w:rsidTr="00225760">
        <w:trPr>
          <w:trHeight w:val="630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E208" w14:textId="77777777" w:rsidR="00126A45" w:rsidRPr="00F660CD" w:rsidRDefault="00126A45" w:rsidP="00225760">
            <w:r w:rsidRPr="00F660CD">
              <w:t>Vlastiti prihodi</w:t>
            </w:r>
            <w:r w:rsidRPr="00F660CD">
              <w:br/>
              <w:t>(izvor 31)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31FC" w14:textId="77777777" w:rsidR="00126A45" w:rsidRPr="00F660CD" w:rsidRDefault="00126A45" w:rsidP="00225760">
            <w:pPr>
              <w:jc w:val="right"/>
            </w:pPr>
            <w:r w:rsidRPr="00F660CD">
              <w:t>146.850,00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6BA9" w14:textId="77777777" w:rsidR="00126A45" w:rsidRPr="00F660CD" w:rsidRDefault="00126A45" w:rsidP="00225760">
            <w:pPr>
              <w:jc w:val="right"/>
            </w:pPr>
            <w:r w:rsidRPr="00F660CD">
              <w:t>-3.500,00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0771" w14:textId="77777777" w:rsidR="00126A45" w:rsidRPr="00F660CD" w:rsidRDefault="00126A45" w:rsidP="00225760">
            <w:pPr>
              <w:jc w:val="right"/>
            </w:pPr>
            <w:r w:rsidRPr="00F660CD">
              <w:t>143.350,00</w:t>
            </w:r>
          </w:p>
        </w:tc>
      </w:tr>
      <w:tr w:rsidR="00126A45" w:rsidRPr="00F660CD" w14:paraId="1820ECA8" w14:textId="77777777" w:rsidTr="00225760">
        <w:trPr>
          <w:trHeight w:val="63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FAFC" w14:textId="77777777" w:rsidR="00126A45" w:rsidRPr="00F660CD" w:rsidRDefault="00126A45" w:rsidP="00225760">
            <w:r w:rsidRPr="00F660CD">
              <w:t>Prihodi za posebne namjene</w:t>
            </w:r>
            <w:r w:rsidRPr="00F660CD">
              <w:br/>
              <w:t>(izvor 43)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4BCD" w14:textId="77777777" w:rsidR="00126A45" w:rsidRPr="00F660CD" w:rsidRDefault="00126A45" w:rsidP="00225760">
            <w:pPr>
              <w:jc w:val="right"/>
            </w:pPr>
            <w:r w:rsidRPr="00F660CD">
              <w:t>481.450,00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AF11" w14:textId="77777777" w:rsidR="00126A45" w:rsidRPr="00F660CD" w:rsidRDefault="00126A45" w:rsidP="00225760">
            <w:pPr>
              <w:jc w:val="right"/>
            </w:pPr>
            <w:r w:rsidRPr="00F660CD">
              <w:t>220.050,00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16D5" w14:textId="77777777" w:rsidR="00126A45" w:rsidRPr="00F660CD" w:rsidRDefault="00126A45" w:rsidP="00225760">
            <w:pPr>
              <w:jc w:val="right"/>
            </w:pPr>
            <w:r w:rsidRPr="00F660CD">
              <w:t>701.500,00</w:t>
            </w:r>
          </w:p>
        </w:tc>
      </w:tr>
      <w:tr w:rsidR="00126A45" w:rsidRPr="00F660CD" w14:paraId="7FD51804" w14:textId="77777777" w:rsidTr="00225760">
        <w:trPr>
          <w:trHeight w:val="63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A580" w14:textId="77777777" w:rsidR="00126A45" w:rsidRPr="00F660CD" w:rsidRDefault="00126A45" w:rsidP="00225760">
            <w:r w:rsidRPr="00F660CD">
              <w:t>Ostale pomoći</w:t>
            </w:r>
          </w:p>
          <w:p w14:paraId="6C90E960" w14:textId="77777777" w:rsidR="00126A45" w:rsidRPr="00F660CD" w:rsidRDefault="00126A45" w:rsidP="00225760">
            <w:r w:rsidRPr="00F660CD">
              <w:t>(izvor 52)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0BD4" w14:textId="77777777" w:rsidR="00126A45" w:rsidRPr="00F660CD" w:rsidRDefault="00126A45" w:rsidP="00225760">
            <w:pPr>
              <w:jc w:val="right"/>
            </w:pPr>
            <w:r w:rsidRPr="00F660CD">
              <w:t>79.632,00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728D" w14:textId="77777777" w:rsidR="00126A45" w:rsidRPr="00F660CD" w:rsidRDefault="00126A45" w:rsidP="00225760">
            <w:pPr>
              <w:jc w:val="right"/>
            </w:pPr>
            <w:r w:rsidRPr="00F660CD">
              <w:t>68.696,00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36FC" w14:textId="77777777" w:rsidR="00126A45" w:rsidRPr="00F660CD" w:rsidRDefault="00126A45" w:rsidP="00225760">
            <w:pPr>
              <w:jc w:val="right"/>
            </w:pPr>
            <w:r w:rsidRPr="00F660CD">
              <w:t>148.328,00</w:t>
            </w:r>
          </w:p>
        </w:tc>
      </w:tr>
      <w:tr w:rsidR="00126A45" w:rsidRPr="00F660CD" w14:paraId="45578A9E" w14:textId="77777777" w:rsidTr="00225760">
        <w:trPr>
          <w:trHeight w:val="63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53AE" w14:textId="77777777" w:rsidR="00126A45" w:rsidRPr="00F660CD" w:rsidRDefault="00126A45" w:rsidP="00225760">
            <w:r w:rsidRPr="00F660CD">
              <w:t>Donacije</w:t>
            </w:r>
          </w:p>
          <w:p w14:paraId="0D22085D" w14:textId="77777777" w:rsidR="00126A45" w:rsidRPr="00F660CD" w:rsidRDefault="00126A45" w:rsidP="00225760">
            <w:r w:rsidRPr="00F660CD">
              <w:t>(izvor 61)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9C91" w14:textId="77777777" w:rsidR="00126A45" w:rsidRPr="00F660CD" w:rsidRDefault="00126A45" w:rsidP="00225760">
            <w:pPr>
              <w:jc w:val="right"/>
            </w:pPr>
            <w:r w:rsidRPr="00F660CD">
              <w:t>0,00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5D23" w14:textId="77777777" w:rsidR="00126A45" w:rsidRPr="00F660CD" w:rsidRDefault="00126A45" w:rsidP="00225760">
            <w:pPr>
              <w:jc w:val="right"/>
            </w:pPr>
            <w:r w:rsidRPr="00F660CD">
              <w:t>1.216,00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E84C" w14:textId="77777777" w:rsidR="00126A45" w:rsidRPr="00F660CD" w:rsidRDefault="00126A45" w:rsidP="00225760">
            <w:pPr>
              <w:jc w:val="right"/>
            </w:pPr>
            <w:r w:rsidRPr="00F660CD">
              <w:t>1.216,00</w:t>
            </w:r>
          </w:p>
        </w:tc>
      </w:tr>
      <w:tr w:rsidR="00126A45" w:rsidRPr="00126A45" w14:paraId="401FDCE3" w14:textId="77777777" w:rsidTr="00225760">
        <w:trPr>
          <w:trHeight w:val="63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B586" w14:textId="77777777" w:rsidR="00126A45" w:rsidRPr="00126A45" w:rsidRDefault="00126A45" w:rsidP="00126A45">
            <w:pPr>
              <w:jc w:val="center"/>
              <w:rPr>
                <w:b/>
              </w:rPr>
            </w:pPr>
            <w:r w:rsidRPr="00126A45">
              <w:rPr>
                <w:b/>
              </w:rPr>
              <w:t>Ukupno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C59F" w14:textId="77777777" w:rsidR="00126A45" w:rsidRPr="00126A45" w:rsidRDefault="00126A45" w:rsidP="00126A45">
            <w:pPr>
              <w:jc w:val="center"/>
              <w:rPr>
                <w:b/>
              </w:rPr>
            </w:pPr>
            <w:r w:rsidRPr="00126A45">
              <w:rPr>
                <w:b/>
              </w:rPr>
              <w:t>4.723.022,00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4CD6" w14:textId="77777777" w:rsidR="00126A45" w:rsidRPr="00126A45" w:rsidRDefault="00126A45" w:rsidP="00126A45">
            <w:pPr>
              <w:jc w:val="center"/>
              <w:rPr>
                <w:b/>
              </w:rPr>
            </w:pPr>
            <w:r w:rsidRPr="00126A45">
              <w:rPr>
                <w:b/>
              </w:rPr>
              <w:t>902.546,00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931E" w14:textId="77777777" w:rsidR="00126A45" w:rsidRPr="00126A45" w:rsidRDefault="00126A45" w:rsidP="00126A45">
            <w:pPr>
              <w:jc w:val="center"/>
              <w:rPr>
                <w:b/>
              </w:rPr>
            </w:pPr>
            <w:r w:rsidRPr="00126A45">
              <w:rPr>
                <w:b/>
              </w:rPr>
              <w:t>5.625.568,00</w:t>
            </w:r>
          </w:p>
        </w:tc>
      </w:tr>
    </w:tbl>
    <w:p w14:paraId="60EC259C" w14:textId="77777777" w:rsidR="00126A45" w:rsidRPr="00F50FDE" w:rsidRDefault="00126A45" w:rsidP="00126A45">
      <w:pPr>
        <w:spacing w:after="240"/>
        <w:jc w:val="both"/>
        <w:rPr>
          <w:b/>
        </w:rPr>
      </w:pPr>
      <w:r w:rsidRPr="00F50FDE">
        <w:rPr>
          <w:b/>
        </w:rPr>
        <w:lastRenderedPageBreak/>
        <w:t>RASHODI I IZDACI</w:t>
      </w:r>
    </w:p>
    <w:p w14:paraId="5E6BCD74" w14:textId="77777777" w:rsidR="00126A45" w:rsidRPr="00F660CD" w:rsidRDefault="00126A45" w:rsidP="00126A45">
      <w:pPr>
        <w:jc w:val="both"/>
      </w:pPr>
      <w:r>
        <w:t>Izmjenama i dopunama financijskog plana za 2025. godinu predviđeni su rashodi u ukupnom iznosu 5.686.666,00</w:t>
      </w:r>
      <w:r w:rsidRPr="00F660CD">
        <w:t xml:space="preserve"> eura.</w:t>
      </w:r>
    </w:p>
    <w:p w14:paraId="68B5B7AD" w14:textId="77777777" w:rsidR="00126A45" w:rsidRDefault="00126A45" w:rsidP="00126A45">
      <w:pPr>
        <w:jc w:val="both"/>
      </w:pPr>
    </w:p>
    <w:p w14:paraId="1E544E34" w14:textId="77777777" w:rsidR="00126A45" w:rsidRPr="00126A45" w:rsidRDefault="00126A45" w:rsidP="00126A45">
      <w:pPr>
        <w:jc w:val="both"/>
        <w:rPr>
          <w:b/>
        </w:rPr>
      </w:pPr>
      <w:r w:rsidRPr="00126A45">
        <w:rPr>
          <w:b/>
        </w:rPr>
        <w:t xml:space="preserve"> Struktura planirani rashoda po izvorima:</w:t>
      </w:r>
    </w:p>
    <w:tbl>
      <w:tblPr>
        <w:tblW w:w="8789" w:type="dxa"/>
        <w:tblLook w:val="04A0" w:firstRow="1" w:lastRow="0" w:firstColumn="1" w:lastColumn="0" w:noHBand="0" w:noVBand="1"/>
      </w:tblPr>
      <w:tblGrid>
        <w:gridCol w:w="3063"/>
        <w:gridCol w:w="1476"/>
        <w:gridCol w:w="2376"/>
        <w:gridCol w:w="1874"/>
      </w:tblGrid>
      <w:tr w:rsidR="00126A45" w:rsidRPr="00F660CD" w14:paraId="61EFAA51" w14:textId="77777777" w:rsidTr="00225760">
        <w:trPr>
          <w:trHeight w:val="315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D904" w14:textId="77777777" w:rsidR="00126A45" w:rsidRPr="00F660CD" w:rsidRDefault="00126A45" w:rsidP="00225760"/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A23CD" w14:textId="77777777" w:rsidR="00126A45" w:rsidRPr="00F660CD" w:rsidRDefault="00126A45" w:rsidP="00225760"/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C55E6" w14:textId="77777777" w:rsidR="00126A45" w:rsidRPr="00F660CD" w:rsidRDefault="00126A45" w:rsidP="00225760"/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83E02" w14:textId="77777777" w:rsidR="00126A45" w:rsidRPr="00F660CD" w:rsidRDefault="00126A45" w:rsidP="00225760">
            <w:pPr>
              <w:jc w:val="right"/>
            </w:pPr>
            <w:r w:rsidRPr="00F660CD">
              <w:t>eura</w:t>
            </w:r>
          </w:p>
        </w:tc>
      </w:tr>
      <w:tr w:rsidR="00126A45" w:rsidRPr="00F660CD" w14:paraId="2A8B5C0D" w14:textId="77777777" w:rsidTr="00225760">
        <w:trPr>
          <w:trHeight w:val="569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CC3A" w14:textId="77777777" w:rsidR="00126A45" w:rsidRPr="00F660CD" w:rsidRDefault="00126A45" w:rsidP="00225760">
            <w:pPr>
              <w:jc w:val="center"/>
              <w:rPr>
                <w:b/>
                <w:bCs/>
              </w:rPr>
            </w:pPr>
            <w:r w:rsidRPr="00F660CD">
              <w:rPr>
                <w:b/>
                <w:bCs/>
              </w:rPr>
              <w:t>Izvor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AF00" w14:textId="77777777" w:rsidR="00126A45" w:rsidRPr="00F660CD" w:rsidRDefault="00126A45" w:rsidP="00225760">
            <w:pPr>
              <w:jc w:val="center"/>
              <w:rPr>
                <w:b/>
                <w:bCs/>
              </w:rPr>
            </w:pPr>
            <w:r w:rsidRPr="00F660CD">
              <w:rPr>
                <w:b/>
                <w:bCs/>
              </w:rPr>
              <w:t>Plan 2025.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7C5A" w14:textId="77777777" w:rsidR="00126A45" w:rsidRPr="00F660CD" w:rsidRDefault="00126A45" w:rsidP="00225760">
            <w:pPr>
              <w:jc w:val="center"/>
              <w:rPr>
                <w:b/>
                <w:bCs/>
              </w:rPr>
            </w:pPr>
            <w:r w:rsidRPr="00F660CD">
              <w:rPr>
                <w:b/>
                <w:bCs/>
              </w:rPr>
              <w:t>Povećanje/smanjenje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4B02" w14:textId="77777777" w:rsidR="00126A45" w:rsidRPr="00F660CD" w:rsidRDefault="00126A45" w:rsidP="00225760">
            <w:pPr>
              <w:jc w:val="center"/>
              <w:rPr>
                <w:b/>
                <w:bCs/>
              </w:rPr>
            </w:pPr>
            <w:r w:rsidRPr="00F660CD">
              <w:rPr>
                <w:b/>
                <w:bCs/>
              </w:rPr>
              <w:t>Novi plan 2025.</w:t>
            </w:r>
          </w:p>
        </w:tc>
      </w:tr>
      <w:tr w:rsidR="00126A45" w:rsidRPr="00F660CD" w14:paraId="56FF6FCA" w14:textId="77777777" w:rsidTr="00225760">
        <w:trPr>
          <w:trHeight w:val="630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2DC6" w14:textId="77777777" w:rsidR="00126A45" w:rsidRPr="00F660CD" w:rsidRDefault="00126A45" w:rsidP="00225760">
            <w:r w:rsidRPr="00F660CD">
              <w:t>Opći prihodi i primici</w:t>
            </w:r>
          </w:p>
          <w:p w14:paraId="0E83D09C" w14:textId="77777777" w:rsidR="00126A45" w:rsidRPr="00F660CD" w:rsidRDefault="00126A45" w:rsidP="00225760">
            <w:r w:rsidRPr="00F660CD">
              <w:t>(izvor 11)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B5AE" w14:textId="77777777" w:rsidR="00126A45" w:rsidRPr="00F660CD" w:rsidRDefault="00126A45" w:rsidP="00225760">
            <w:pPr>
              <w:jc w:val="right"/>
            </w:pPr>
            <w:r>
              <w:t>4.015.090,00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B937" w14:textId="77777777" w:rsidR="00126A45" w:rsidRPr="00F660CD" w:rsidRDefault="00126A45" w:rsidP="00225760">
            <w:pPr>
              <w:jc w:val="right"/>
            </w:pPr>
            <w:r>
              <w:t>616.084,00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4721" w14:textId="77777777" w:rsidR="00126A45" w:rsidRPr="00F660CD" w:rsidRDefault="00126A45" w:rsidP="00225760">
            <w:pPr>
              <w:jc w:val="right"/>
            </w:pPr>
            <w:r>
              <w:t>4.631.174,00</w:t>
            </w:r>
          </w:p>
        </w:tc>
      </w:tr>
      <w:tr w:rsidR="00126A45" w:rsidRPr="00F660CD" w14:paraId="1AB81D04" w14:textId="77777777" w:rsidTr="00225760">
        <w:trPr>
          <w:trHeight w:val="630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7812" w14:textId="77777777" w:rsidR="00126A45" w:rsidRPr="00F660CD" w:rsidRDefault="00126A45" w:rsidP="00225760">
            <w:r w:rsidRPr="00F660CD">
              <w:t>Vlastiti prihodi</w:t>
            </w:r>
            <w:r w:rsidRPr="00F660CD">
              <w:br/>
              <w:t>(izvor 31)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FC4B" w14:textId="77777777" w:rsidR="00126A45" w:rsidRPr="00F660CD" w:rsidRDefault="00126A45" w:rsidP="00225760">
            <w:pPr>
              <w:jc w:val="right"/>
            </w:pPr>
            <w:r w:rsidRPr="00F660CD">
              <w:t>174.959,00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941A" w14:textId="77777777" w:rsidR="00126A45" w:rsidRPr="00F660CD" w:rsidRDefault="00126A45" w:rsidP="00225760">
            <w:pPr>
              <w:jc w:val="right"/>
            </w:pPr>
            <w:r w:rsidRPr="00F660CD">
              <w:t>-12.809,00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6E88" w14:textId="77777777" w:rsidR="00126A45" w:rsidRPr="00F660CD" w:rsidRDefault="00126A45" w:rsidP="00225760">
            <w:pPr>
              <w:jc w:val="right"/>
            </w:pPr>
            <w:r w:rsidRPr="00F660CD">
              <w:t>162.150,00</w:t>
            </w:r>
          </w:p>
        </w:tc>
      </w:tr>
      <w:tr w:rsidR="00126A45" w:rsidRPr="00F660CD" w14:paraId="7A08FF54" w14:textId="77777777" w:rsidTr="00225760">
        <w:trPr>
          <w:trHeight w:val="63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F27B" w14:textId="77777777" w:rsidR="00126A45" w:rsidRPr="00F660CD" w:rsidRDefault="00126A45" w:rsidP="00225760">
            <w:r w:rsidRPr="00F660CD">
              <w:t>Prihodi za posebne namjene</w:t>
            </w:r>
            <w:r w:rsidRPr="00F660CD">
              <w:br/>
              <w:t>(izvor 43)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0BDB" w14:textId="77777777" w:rsidR="00126A45" w:rsidRPr="00F660CD" w:rsidRDefault="00126A45" w:rsidP="00225760">
            <w:pPr>
              <w:jc w:val="right"/>
            </w:pPr>
            <w:r w:rsidRPr="00F660CD">
              <w:t>526.912,00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D315" w14:textId="77777777" w:rsidR="00126A45" w:rsidRPr="00F660CD" w:rsidRDefault="00126A45" w:rsidP="00225760">
            <w:pPr>
              <w:jc w:val="right"/>
            </w:pPr>
            <w:r w:rsidRPr="00F660CD">
              <w:t>217.123,00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B6A7" w14:textId="77777777" w:rsidR="00126A45" w:rsidRPr="00F660CD" w:rsidRDefault="00126A45" w:rsidP="00225760">
            <w:pPr>
              <w:jc w:val="right"/>
            </w:pPr>
            <w:r w:rsidRPr="00F660CD">
              <w:t>744.035,00</w:t>
            </w:r>
          </w:p>
        </w:tc>
      </w:tr>
      <w:tr w:rsidR="00126A45" w:rsidRPr="00F660CD" w14:paraId="078C9C03" w14:textId="77777777" w:rsidTr="00225760">
        <w:trPr>
          <w:trHeight w:val="63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317A" w14:textId="77777777" w:rsidR="00126A45" w:rsidRPr="00F660CD" w:rsidRDefault="00126A45" w:rsidP="00225760">
            <w:r w:rsidRPr="00F660CD">
              <w:t>Ostale pomoći</w:t>
            </w:r>
          </w:p>
          <w:p w14:paraId="74CEE7D0" w14:textId="77777777" w:rsidR="00126A45" w:rsidRPr="00F660CD" w:rsidRDefault="00126A45" w:rsidP="00225760">
            <w:r w:rsidRPr="00F660CD">
              <w:t>(izvor 52)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163E" w14:textId="77777777" w:rsidR="00126A45" w:rsidRPr="00F660CD" w:rsidRDefault="00126A45" w:rsidP="00225760">
            <w:pPr>
              <w:jc w:val="right"/>
            </w:pPr>
            <w:r w:rsidRPr="00F660CD">
              <w:t>79.632,00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0FC7" w14:textId="77777777" w:rsidR="00126A45" w:rsidRPr="00F660CD" w:rsidRDefault="00126A45" w:rsidP="00225760">
            <w:pPr>
              <w:jc w:val="right"/>
            </w:pPr>
            <w:r w:rsidRPr="00F660CD">
              <w:t>68.459,00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3B88" w14:textId="77777777" w:rsidR="00126A45" w:rsidRPr="00F660CD" w:rsidRDefault="00126A45" w:rsidP="00225760">
            <w:pPr>
              <w:jc w:val="right"/>
            </w:pPr>
            <w:r w:rsidRPr="00F660CD">
              <w:t>148.091,00</w:t>
            </w:r>
          </w:p>
        </w:tc>
      </w:tr>
      <w:tr w:rsidR="00126A45" w:rsidRPr="00F660CD" w14:paraId="00373B0E" w14:textId="77777777" w:rsidTr="00225760">
        <w:trPr>
          <w:trHeight w:val="63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DD22" w14:textId="77777777" w:rsidR="00126A45" w:rsidRPr="00F660CD" w:rsidRDefault="00126A45" w:rsidP="00225760">
            <w:r w:rsidRPr="00F660CD">
              <w:t>Donacije</w:t>
            </w:r>
          </w:p>
          <w:p w14:paraId="04B5241E" w14:textId="77777777" w:rsidR="00126A45" w:rsidRPr="00F660CD" w:rsidRDefault="00126A45" w:rsidP="00225760">
            <w:r w:rsidRPr="00F660CD">
              <w:t>(izvor 61)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404E" w14:textId="77777777" w:rsidR="00126A45" w:rsidRPr="00F660CD" w:rsidRDefault="00126A45" w:rsidP="00225760">
            <w:pPr>
              <w:jc w:val="right"/>
            </w:pPr>
            <w:r w:rsidRPr="00F660CD">
              <w:t>0,00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CD06" w14:textId="77777777" w:rsidR="00126A45" w:rsidRPr="00F660CD" w:rsidRDefault="00126A45" w:rsidP="00225760">
            <w:pPr>
              <w:jc w:val="right"/>
            </w:pPr>
            <w:r w:rsidRPr="00F660CD">
              <w:t>1.216,00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2D1B" w14:textId="77777777" w:rsidR="00126A45" w:rsidRPr="00F660CD" w:rsidRDefault="00126A45" w:rsidP="00225760">
            <w:pPr>
              <w:jc w:val="right"/>
            </w:pPr>
            <w:r w:rsidRPr="00F660CD">
              <w:t>1.216,00</w:t>
            </w:r>
          </w:p>
        </w:tc>
      </w:tr>
      <w:tr w:rsidR="00126A45" w:rsidRPr="00126A45" w14:paraId="7EF9BC2E" w14:textId="77777777" w:rsidTr="00225760">
        <w:trPr>
          <w:trHeight w:val="63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3E2F" w14:textId="77777777" w:rsidR="00126A45" w:rsidRPr="00126A45" w:rsidRDefault="00126A45" w:rsidP="00126A45">
            <w:pPr>
              <w:jc w:val="center"/>
              <w:rPr>
                <w:b/>
              </w:rPr>
            </w:pPr>
            <w:r w:rsidRPr="00126A45">
              <w:rPr>
                <w:b/>
              </w:rPr>
              <w:t>Ukupno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7076" w14:textId="77777777" w:rsidR="00126A45" w:rsidRPr="00126A45" w:rsidRDefault="00126A45" w:rsidP="00126A45">
            <w:pPr>
              <w:jc w:val="center"/>
              <w:rPr>
                <w:b/>
              </w:rPr>
            </w:pPr>
            <w:r w:rsidRPr="00126A45">
              <w:rPr>
                <w:b/>
              </w:rPr>
              <w:t>4.796.593,00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297F" w14:textId="77777777" w:rsidR="00126A45" w:rsidRPr="00126A45" w:rsidRDefault="00126A45" w:rsidP="00126A45">
            <w:pPr>
              <w:jc w:val="center"/>
              <w:rPr>
                <w:b/>
              </w:rPr>
            </w:pPr>
            <w:r w:rsidRPr="00126A45">
              <w:rPr>
                <w:b/>
              </w:rPr>
              <w:t>890.073,00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C3AF" w14:textId="77777777" w:rsidR="00126A45" w:rsidRPr="00126A45" w:rsidRDefault="00126A45" w:rsidP="00126A45">
            <w:pPr>
              <w:jc w:val="center"/>
              <w:rPr>
                <w:b/>
              </w:rPr>
            </w:pPr>
            <w:r w:rsidRPr="00126A45">
              <w:rPr>
                <w:b/>
              </w:rPr>
              <w:t>5.686.666,00</w:t>
            </w:r>
          </w:p>
        </w:tc>
      </w:tr>
    </w:tbl>
    <w:p w14:paraId="4DB525F9" w14:textId="77777777" w:rsidR="00126A45" w:rsidRDefault="00126A45" w:rsidP="00126A45">
      <w:pPr>
        <w:jc w:val="both"/>
      </w:pPr>
    </w:p>
    <w:p w14:paraId="397EA5A3" w14:textId="47B70538" w:rsidR="00126A45" w:rsidRDefault="00126A45" w:rsidP="00126A45">
      <w:pPr>
        <w:spacing w:before="240" w:after="240"/>
        <w:jc w:val="both"/>
        <w:rPr>
          <w:lang w:eastAsia="en-GB"/>
        </w:rPr>
      </w:pPr>
      <w:r w:rsidRPr="001D3200">
        <w:t>U strukturi ukupnih rashoda najveći iznos planiranih rashoda odnosi se na rashode za zaposlene, a planirani su iz svih izvora osim iz izvora 61. Pored rashoda za zaposlene, iz svih izvora, planirani su materijalni rashodi, a iz izvora 43 planirani su još i rashodi za nabavu nefinancijske imovine, financijski rashodi, te rashode za naknadu građanima i kućanstvima. U strukturi ukupnih rashoda najveći iznos rashoda odnosi se na redovnu djelatnost koja se financira iz izvora 11</w:t>
      </w:r>
      <w:r>
        <w:t xml:space="preserve"> - </w:t>
      </w:r>
      <w:r w:rsidRPr="001D3200">
        <w:rPr>
          <w:lang w:eastAsia="en-GB"/>
        </w:rPr>
        <w:t xml:space="preserve">Opći prihodi i primici, aktivnost u proračunu A621003. Također, planirani su rashodi za aktivnosti A679090 </w:t>
      </w:r>
      <w:r>
        <w:rPr>
          <w:lang w:eastAsia="en-GB"/>
        </w:rPr>
        <w:t xml:space="preserve">- </w:t>
      </w:r>
      <w:r w:rsidRPr="001D3200">
        <w:rPr>
          <w:lang w:eastAsia="en-GB"/>
        </w:rPr>
        <w:t>Redovna djelatnost Sveučilišta u Osijeku (iz evidencijskih prihoda), A622122</w:t>
      </w:r>
      <w:r>
        <w:rPr>
          <w:lang w:eastAsia="en-GB"/>
        </w:rPr>
        <w:t xml:space="preserve"> -</w:t>
      </w:r>
      <w:r w:rsidRPr="001D3200">
        <w:rPr>
          <w:lang w:eastAsia="en-GB"/>
        </w:rPr>
        <w:t xml:space="preserve"> Programsko financiranje javnih visokih učilišta, te A621038 </w:t>
      </w:r>
      <w:r>
        <w:rPr>
          <w:lang w:eastAsia="en-GB"/>
        </w:rPr>
        <w:t xml:space="preserve">- </w:t>
      </w:r>
      <w:r w:rsidRPr="001D3200">
        <w:rPr>
          <w:lang w:eastAsia="en-GB"/>
        </w:rPr>
        <w:t xml:space="preserve">Programi </w:t>
      </w:r>
      <w:r w:rsidRPr="00391592">
        <w:rPr>
          <w:lang w:eastAsia="en-GB"/>
        </w:rPr>
        <w:t>vježbaonica visokih učilišta.</w:t>
      </w:r>
    </w:p>
    <w:p w14:paraId="53500E35" w14:textId="77777777" w:rsidR="00915DF9" w:rsidRPr="00391592" w:rsidRDefault="00915DF9" w:rsidP="00126A45">
      <w:pPr>
        <w:spacing w:before="240" w:after="240"/>
        <w:jc w:val="both"/>
      </w:pPr>
    </w:p>
    <w:p w14:paraId="4AA5326F" w14:textId="77777777" w:rsidR="00126A45" w:rsidRPr="00391592" w:rsidRDefault="00126A45" w:rsidP="00126A45">
      <w:pPr>
        <w:spacing w:after="240"/>
        <w:jc w:val="both"/>
        <w:rPr>
          <w:b/>
        </w:rPr>
      </w:pPr>
      <w:r w:rsidRPr="00391592">
        <w:rPr>
          <w:b/>
        </w:rPr>
        <w:t>PRIJENOS SREDSTAVA IZ PRETHODNE I U SLJEDEĆU GODINU</w:t>
      </w:r>
    </w:p>
    <w:p w14:paraId="3E8CAC75" w14:textId="77777777" w:rsidR="00126A45" w:rsidRPr="00391592" w:rsidRDefault="00126A45" w:rsidP="00126A45">
      <w:pPr>
        <w:jc w:val="both"/>
      </w:pPr>
      <w:r w:rsidRPr="00391592">
        <w:t>Ukupan donos financijskih sredstava iz prethodne godine iznosi 555.97</w:t>
      </w:r>
      <w:r>
        <w:t>3</w:t>
      </w:r>
      <w:r w:rsidRPr="00391592">
        <w:t xml:space="preserve">,00 eura. Prijenos u sljedeću godinu planira se u </w:t>
      </w:r>
      <w:r>
        <w:t xml:space="preserve">visini od 494.875,00 eura </w:t>
      </w:r>
      <w:r w:rsidRPr="00391592">
        <w:t xml:space="preserve">čime se ostvaruje kontinuitet u ostvarenju viška prihoda. Višak prihoda najvećim dijelom se ostvaruje iz izvora 31 i izvora 43, a rezultat je viška prihoda od programa cjeloživotnog obrazovanja i obavljanja poslova na tržištu, te od programa redovnih i izvanrednih studija koji se </w:t>
      </w:r>
      <w:r>
        <w:t>realiziraju</w:t>
      </w:r>
      <w:r w:rsidRPr="00391592">
        <w:t xml:space="preserve"> na Fakultetu za odgojne i obrazovne znanosti. Akumulirani viša</w:t>
      </w:r>
      <w:r>
        <w:t>k</w:t>
      </w:r>
      <w:r w:rsidRPr="00391592">
        <w:t xml:space="preserve"> prihoda iz protekl</w:t>
      </w:r>
      <w:r>
        <w:t>og razdoblja</w:t>
      </w:r>
      <w:r w:rsidRPr="00391592">
        <w:t xml:space="preserve"> prenosi se za financiranje rashoda poslovanja i nabavu nefinancijske imovine u sljedećim godinama.</w:t>
      </w:r>
    </w:p>
    <w:p w14:paraId="35C0E011" w14:textId="77777777" w:rsidR="00126A45" w:rsidRDefault="00126A45" w:rsidP="00126A45">
      <w:pPr>
        <w:jc w:val="both"/>
      </w:pPr>
    </w:p>
    <w:p w14:paraId="4360C4AB" w14:textId="58CF69C6" w:rsidR="00126A45" w:rsidRDefault="00126A45" w:rsidP="00126A45">
      <w:pPr>
        <w:jc w:val="both"/>
      </w:pPr>
    </w:p>
    <w:p w14:paraId="2819B962" w14:textId="77777777" w:rsidR="00915DF9" w:rsidRDefault="00915DF9" w:rsidP="00126A45">
      <w:pPr>
        <w:jc w:val="both"/>
      </w:pPr>
      <w:bookmarkStart w:id="0" w:name="_GoBack"/>
      <w:bookmarkEnd w:id="0"/>
    </w:p>
    <w:p w14:paraId="44564C14" w14:textId="77777777" w:rsidR="00126A45" w:rsidRDefault="00126A45" w:rsidP="00126A45">
      <w:pPr>
        <w:jc w:val="both"/>
      </w:pPr>
    </w:p>
    <w:p w14:paraId="72659B73" w14:textId="77777777" w:rsidR="00126A45" w:rsidRDefault="00126A45" w:rsidP="00126A45">
      <w:pPr>
        <w:jc w:val="both"/>
      </w:pPr>
    </w:p>
    <w:p w14:paraId="3F0987FC" w14:textId="77777777" w:rsidR="00126A45" w:rsidRPr="00391592" w:rsidRDefault="00126A45" w:rsidP="00126A45">
      <w:pPr>
        <w:jc w:val="both"/>
        <w:rPr>
          <w:b/>
        </w:rPr>
      </w:pPr>
      <w:r w:rsidRPr="00391592">
        <w:rPr>
          <w:b/>
        </w:rPr>
        <w:t>UKUPNE I DOSPJELE OBVEZE</w:t>
      </w:r>
    </w:p>
    <w:p w14:paraId="6BB2961A" w14:textId="77777777" w:rsidR="00126A45" w:rsidRPr="00391592" w:rsidRDefault="00126A45" w:rsidP="00126A45">
      <w:pPr>
        <w:jc w:val="both"/>
      </w:pPr>
      <w:r w:rsidRPr="00391592">
        <w:tab/>
      </w:r>
      <w:r w:rsidRPr="00391592">
        <w:tab/>
      </w:r>
      <w:r w:rsidRPr="00391592">
        <w:tab/>
      </w:r>
      <w:r w:rsidRPr="00391592">
        <w:tab/>
      </w:r>
      <w:r w:rsidRPr="00391592">
        <w:tab/>
      </w:r>
      <w:r w:rsidRPr="00391592">
        <w:tab/>
      </w:r>
      <w:r w:rsidRPr="00391592">
        <w:tab/>
      </w:r>
      <w:r w:rsidRPr="00391592">
        <w:tab/>
      </w:r>
      <w:r w:rsidRPr="00391592">
        <w:tab/>
      </w:r>
      <w:r w:rsidRPr="00391592">
        <w:tab/>
      </w:r>
      <w:r w:rsidRPr="00391592">
        <w:tab/>
      </w:r>
      <w:r w:rsidRPr="00391592">
        <w:tab/>
        <w:t>eura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685"/>
        <w:gridCol w:w="3537"/>
      </w:tblGrid>
      <w:tr w:rsidR="00126A45" w:rsidRPr="00391592" w14:paraId="000F2A46" w14:textId="77777777" w:rsidTr="00225760">
        <w:trPr>
          <w:trHeight w:val="412"/>
          <w:jc w:val="center"/>
        </w:trPr>
        <w:tc>
          <w:tcPr>
            <w:tcW w:w="1838" w:type="dxa"/>
            <w:vAlign w:val="center"/>
          </w:tcPr>
          <w:p w14:paraId="3D354F31" w14:textId="77777777" w:rsidR="00126A45" w:rsidRPr="00391592" w:rsidRDefault="00126A45" w:rsidP="00225760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12BEC6F" w14:textId="77777777" w:rsidR="00126A45" w:rsidRPr="00391592" w:rsidRDefault="00126A45" w:rsidP="00225760">
            <w:pPr>
              <w:jc w:val="center"/>
            </w:pPr>
            <w:r w:rsidRPr="00391592">
              <w:t>Stanje obveza na dan 31. 12. 2024.</w:t>
            </w:r>
          </w:p>
        </w:tc>
        <w:tc>
          <w:tcPr>
            <w:tcW w:w="3538" w:type="dxa"/>
            <w:vAlign w:val="center"/>
          </w:tcPr>
          <w:p w14:paraId="4D1A2BCD" w14:textId="77777777" w:rsidR="00126A45" w:rsidRPr="00391592" w:rsidRDefault="00126A45" w:rsidP="00225760">
            <w:pPr>
              <w:jc w:val="center"/>
            </w:pPr>
            <w:r w:rsidRPr="00391592">
              <w:t>Stanje obveza na dan 30. 6. 2025.</w:t>
            </w:r>
          </w:p>
        </w:tc>
      </w:tr>
      <w:tr w:rsidR="00126A45" w:rsidRPr="00391592" w14:paraId="2E8ED4CA" w14:textId="77777777" w:rsidTr="00225760">
        <w:trPr>
          <w:trHeight w:val="418"/>
          <w:jc w:val="center"/>
        </w:trPr>
        <w:tc>
          <w:tcPr>
            <w:tcW w:w="1838" w:type="dxa"/>
            <w:vAlign w:val="center"/>
          </w:tcPr>
          <w:p w14:paraId="60D567E4" w14:textId="77777777" w:rsidR="00126A45" w:rsidRPr="00391592" w:rsidRDefault="00126A45" w:rsidP="00225760">
            <w:pPr>
              <w:jc w:val="both"/>
            </w:pPr>
            <w:r w:rsidRPr="00391592">
              <w:t>Ukupne obveze</w:t>
            </w:r>
          </w:p>
        </w:tc>
        <w:tc>
          <w:tcPr>
            <w:tcW w:w="3686" w:type="dxa"/>
            <w:vAlign w:val="center"/>
          </w:tcPr>
          <w:p w14:paraId="75FF72F6" w14:textId="77777777" w:rsidR="00126A45" w:rsidRPr="00391592" w:rsidRDefault="00126A45" w:rsidP="00225760">
            <w:pPr>
              <w:jc w:val="center"/>
            </w:pPr>
            <w:r w:rsidRPr="00391592">
              <w:t>393.296,69</w:t>
            </w:r>
          </w:p>
        </w:tc>
        <w:tc>
          <w:tcPr>
            <w:tcW w:w="3538" w:type="dxa"/>
            <w:vAlign w:val="center"/>
          </w:tcPr>
          <w:p w14:paraId="63EA4CBD" w14:textId="77777777" w:rsidR="00126A45" w:rsidRPr="00391592" w:rsidRDefault="00126A45" w:rsidP="00225760">
            <w:pPr>
              <w:jc w:val="center"/>
            </w:pPr>
            <w:r w:rsidRPr="00391592">
              <w:t>364.281,62</w:t>
            </w:r>
          </w:p>
        </w:tc>
      </w:tr>
      <w:tr w:rsidR="00126A45" w:rsidRPr="00391592" w14:paraId="249B77B7" w14:textId="77777777" w:rsidTr="00225760">
        <w:trPr>
          <w:trHeight w:val="410"/>
          <w:jc w:val="center"/>
        </w:trPr>
        <w:tc>
          <w:tcPr>
            <w:tcW w:w="1838" w:type="dxa"/>
            <w:vAlign w:val="center"/>
          </w:tcPr>
          <w:p w14:paraId="388612F7" w14:textId="77777777" w:rsidR="00126A45" w:rsidRPr="00391592" w:rsidRDefault="00126A45" w:rsidP="00225760">
            <w:pPr>
              <w:jc w:val="both"/>
            </w:pPr>
            <w:r w:rsidRPr="00391592">
              <w:t>Dospjele obveze</w:t>
            </w:r>
          </w:p>
        </w:tc>
        <w:tc>
          <w:tcPr>
            <w:tcW w:w="3686" w:type="dxa"/>
            <w:vAlign w:val="center"/>
          </w:tcPr>
          <w:p w14:paraId="0A924F72" w14:textId="77777777" w:rsidR="00126A45" w:rsidRPr="00391592" w:rsidRDefault="00126A45" w:rsidP="00225760">
            <w:pPr>
              <w:jc w:val="center"/>
            </w:pPr>
            <w:r w:rsidRPr="00391592">
              <w:t>0,00</w:t>
            </w:r>
          </w:p>
        </w:tc>
        <w:tc>
          <w:tcPr>
            <w:tcW w:w="3538" w:type="dxa"/>
            <w:vAlign w:val="center"/>
          </w:tcPr>
          <w:p w14:paraId="29FE875B" w14:textId="77777777" w:rsidR="00126A45" w:rsidRPr="00391592" w:rsidRDefault="00126A45" w:rsidP="00225760">
            <w:pPr>
              <w:jc w:val="center"/>
            </w:pPr>
            <w:r w:rsidRPr="00391592">
              <w:t>0,00</w:t>
            </w:r>
          </w:p>
        </w:tc>
      </w:tr>
    </w:tbl>
    <w:p w14:paraId="7B4C7028" w14:textId="77777777" w:rsidR="00126A45" w:rsidRPr="00391592" w:rsidRDefault="00126A45" w:rsidP="00126A45">
      <w:pPr>
        <w:jc w:val="both"/>
      </w:pPr>
    </w:p>
    <w:p w14:paraId="1190E75F" w14:textId="77777777" w:rsidR="00126A45" w:rsidRPr="00391592" w:rsidRDefault="00126A45" w:rsidP="00126A45">
      <w:pPr>
        <w:jc w:val="both"/>
      </w:pPr>
    </w:p>
    <w:p w14:paraId="7F08F3A3" w14:textId="77777777" w:rsidR="00126A45" w:rsidRPr="00391592" w:rsidRDefault="00126A45" w:rsidP="00126A45">
      <w:pPr>
        <w:jc w:val="both"/>
      </w:pPr>
    </w:p>
    <w:p w14:paraId="1577A309" w14:textId="77777777" w:rsidR="00126A45" w:rsidRDefault="00126A45" w:rsidP="00126A45">
      <w:pPr>
        <w:ind w:left="6372"/>
        <w:jc w:val="both"/>
        <w:rPr>
          <w:b/>
        </w:rPr>
      </w:pPr>
      <w:r w:rsidRPr="00391592">
        <w:rPr>
          <w:b/>
        </w:rPr>
        <w:t>DEKANICA</w:t>
      </w:r>
    </w:p>
    <w:p w14:paraId="29B65CA0" w14:textId="72929990" w:rsidR="00126A45" w:rsidRDefault="00126A45" w:rsidP="00126A45">
      <w:pPr>
        <w:ind w:left="6372"/>
        <w:jc w:val="both"/>
        <w:rPr>
          <w:b/>
        </w:rPr>
      </w:pPr>
    </w:p>
    <w:p w14:paraId="7D1A185A" w14:textId="77777777" w:rsidR="00126A45" w:rsidRPr="00391592" w:rsidRDefault="00126A45" w:rsidP="00126A45">
      <w:pPr>
        <w:ind w:left="6372"/>
        <w:jc w:val="both"/>
        <w:rPr>
          <w:b/>
        </w:rPr>
      </w:pPr>
    </w:p>
    <w:p w14:paraId="540C1D1F" w14:textId="77777777" w:rsidR="00126A45" w:rsidRPr="00391592" w:rsidRDefault="00126A45" w:rsidP="00126A45">
      <w:pPr>
        <w:ind w:left="4956" w:firstLine="708"/>
        <w:jc w:val="both"/>
      </w:pPr>
      <w:r w:rsidRPr="00391592">
        <w:t xml:space="preserve">prof. dr. </w:t>
      </w:r>
      <w:proofErr w:type="spellStart"/>
      <w:r w:rsidRPr="00391592">
        <w:t>sc</w:t>
      </w:r>
      <w:proofErr w:type="spellEnd"/>
      <w:r w:rsidRPr="00391592">
        <w:t xml:space="preserve">. Emina </w:t>
      </w:r>
      <w:proofErr w:type="spellStart"/>
      <w:r w:rsidRPr="00391592">
        <w:t>Berbić</w:t>
      </w:r>
      <w:proofErr w:type="spellEnd"/>
      <w:r w:rsidRPr="00391592">
        <w:t xml:space="preserve"> Kolar</w:t>
      </w:r>
    </w:p>
    <w:p w14:paraId="39E5B163" w14:textId="3BD2ECFF" w:rsidR="00BA5E49" w:rsidRDefault="00BA5E49" w:rsidP="00497BD3"/>
    <w:p w14:paraId="25DAB7CC" w14:textId="52C9D9AF" w:rsidR="00BA5E49" w:rsidRDefault="00BA5E49" w:rsidP="00497BD3"/>
    <w:p w14:paraId="24B100D8" w14:textId="77777777" w:rsidR="00BA5E49" w:rsidRPr="00103B65" w:rsidRDefault="00BA5E49" w:rsidP="00497BD3">
      <w:pPr>
        <w:rPr>
          <w:lang w:val="en-US"/>
        </w:rPr>
      </w:pPr>
    </w:p>
    <w:sectPr w:rsidR="00BA5E49" w:rsidRPr="00103B65" w:rsidSect="00850227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FFECD" w14:textId="77777777" w:rsidR="00116DDB" w:rsidRDefault="00116DDB" w:rsidP="00EA315B">
      <w:r>
        <w:separator/>
      </w:r>
    </w:p>
  </w:endnote>
  <w:endnote w:type="continuationSeparator" w:id="0">
    <w:p w14:paraId="445F3840" w14:textId="77777777" w:rsidR="00116DDB" w:rsidRDefault="00116DDB" w:rsidP="00EA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7042994"/>
      <w:docPartObj>
        <w:docPartGallery w:val="Page Numbers (Bottom of Page)"/>
        <w:docPartUnique/>
      </w:docPartObj>
    </w:sdtPr>
    <w:sdtEndPr/>
    <w:sdtContent>
      <w:p w14:paraId="288BE65C" w14:textId="1F40F580" w:rsidR="00850227" w:rsidRDefault="0085022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DF9">
          <w:rPr>
            <w:noProof/>
          </w:rPr>
          <w:t>2</w:t>
        </w:r>
        <w:r>
          <w:fldChar w:fldCharType="end"/>
        </w:r>
      </w:p>
    </w:sdtContent>
  </w:sdt>
  <w:p w14:paraId="4FDB868F" w14:textId="77777777" w:rsidR="00850227" w:rsidRDefault="008502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95B93" w14:textId="77777777" w:rsidR="00116DDB" w:rsidRDefault="00116DDB" w:rsidP="00EA315B">
      <w:r>
        <w:separator/>
      </w:r>
    </w:p>
  </w:footnote>
  <w:footnote w:type="continuationSeparator" w:id="0">
    <w:p w14:paraId="3975DF56" w14:textId="77777777" w:rsidR="00116DDB" w:rsidRDefault="00116DDB" w:rsidP="00EA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08F"/>
    <w:multiLevelType w:val="hybridMultilevel"/>
    <w:tmpl w:val="984664A8"/>
    <w:lvl w:ilvl="0" w:tplc="21E25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360A6"/>
    <w:multiLevelType w:val="hybridMultilevel"/>
    <w:tmpl w:val="27484812"/>
    <w:lvl w:ilvl="0" w:tplc="DA404E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16C0"/>
    <w:multiLevelType w:val="hybridMultilevel"/>
    <w:tmpl w:val="44EEE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4324"/>
    <w:multiLevelType w:val="hybridMultilevel"/>
    <w:tmpl w:val="A3602C9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9F3BF6"/>
    <w:multiLevelType w:val="hybridMultilevel"/>
    <w:tmpl w:val="52945300"/>
    <w:lvl w:ilvl="0" w:tplc="73B2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858AD"/>
    <w:multiLevelType w:val="hybridMultilevel"/>
    <w:tmpl w:val="0DF6E9DE"/>
    <w:lvl w:ilvl="0" w:tplc="B0B0FD7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61825"/>
    <w:multiLevelType w:val="hybridMultilevel"/>
    <w:tmpl w:val="EAA67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E1D06"/>
    <w:multiLevelType w:val="hybridMultilevel"/>
    <w:tmpl w:val="27B0D8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75A52"/>
    <w:multiLevelType w:val="hybridMultilevel"/>
    <w:tmpl w:val="81FE5B5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9D7A5F"/>
    <w:multiLevelType w:val="hybridMultilevel"/>
    <w:tmpl w:val="D43A5B0C"/>
    <w:lvl w:ilvl="0" w:tplc="73B2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634AF"/>
    <w:multiLevelType w:val="hybridMultilevel"/>
    <w:tmpl w:val="CAD6F660"/>
    <w:lvl w:ilvl="0" w:tplc="CFA8FAEC">
      <w:start w:val="10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0720A9A"/>
    <w:multiLevelType w:val="hybridMultilevel"/>
    <w:tmpl w:val="CCB022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C2F05"/>
    <w:multiLevelType w:val="hybridMultilevel"/>
    <w:tmpl w:val="373EB660"/>
    <w:lvl w:ilvl="0" w:tplc="2370FDC0">
      <w:start w:val="1"/>
      <w:numFmt w:val="decimal"/>
      <w:lvlText w:val="%1."/>
      <w:lvlJc w:val="left"/>
      <w:pPr>
        <w:ind w:left="3600" w:hanging="360"/>
      </w:pPr>
      <w:rPr>
        <w:b w:val="0"/>
        <w:sz w:val="18"/>
        <w:szCs w:val="18"/>
      </w:rPr>
    </w:lvl>
    <w:lvl w:ilvl="1" w:tplc="041A0019">
      <w:start w:val="1"/>
      <w:numFmt w:val="lowerLetter"/>
      <w:lvlText w:val="%2."/>
      <w:lvlJc w:val="left"/>
      <w:pPr>
        <w:ind w:left="4320" w:hanging="360"/>
      </w:pPr>
    </w:lvl>
    <w:lvl w:ilvl="2" w:tplc="041A001B">
      <w:start w:val="1"/>
      <w:numFmt w:val="lowerRoman"/>
      <w:lvlText w:val="%3."/>
      <w:lvlJc w:val="right"/>
      <w:pPr>
        <w:ind w:left="5040" w:hanging="180"/>
      </w:pPr>
    </w:lvl>
    <w:lvl w:ilvl="3" w:tplc="041A000F">
      <w:start w:val="1"/>
      <w:numFmt w:val="decimal"/>
      <w:lvlText w:val="%4."/>
      <w:lvlJc w:val="left"/>
      <w:pPr>
        <w:ind w:left="5760" w:hanging="360"/>
      </w:pPr>
    </w:lvl>
    <w:lvl w:ilvl="4" w:tplc="041A0019">
      <w:start w:val="1"/>
      <w:numFmt w:val="lowerLetter"/>
      <w:lvlText w:val="%5."/>
      <w:lvlJc w:val="left"/>
      <w:pPr>
        <w:ind w:left="6480" w:hanging="360"/>
      </w:pPr>
    </w:lvl>
    <w:lvl w:ilvl="5" w:tplc="041A001B">
      <w:start w:val="1"/>
      <w:numFmt w:val="lowerRoman"/>
      <w:lvlText w:val="%6."/>
      <w:lvlJc w:val="right"/>
      <w:pPr>
        <w:ind w:left="7200" w:hanging="180"/>
      </w:pPr>
    </w:lvl>
    <w:lvl w:ilvl="6" w:tplc="041A000F">
      <w:start w:val="1"/>
      <w:numFmt w:val="decimal"/>
      <w:lvlText w:val="%7."/>
      <w:lvlJc w:val="left"/>
      <w:pPr>
        <w:ind w:left="7920" w:hanging="360"/>
      </w:pPr>
    </w:lvl>
    <w:lvl w:ilvl="7" w:tplc="041A0019">
      <w:start w:val="1"/>
      <w:numFmt w:val="lowerLetter"/>
      <w:lvlText w:val="%8."/>
      <w:lvlJc w:val="left"/>
      <w:pPr>
        <w:ind w:left="8640" w:hanging="360"/>
      </w:pPr>
    </w:lvl>
    <w:lvl w:ilvl="8" w:tplc="041A001B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77141080"/>
    <w:multiLevelType w:val="hybridMultilevel"/>
    <w:tmpl w:val="385687E0"/>
    <w:lvl w:ilvl="0" w:tplc="2CE47E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FE2A40"/>
    <w:multiLevelType w:val="hybridMultilevel"/>
    <w:tmpl w:val="45E265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4"/>
  </w:num>
  <w:num w:numId="5">
    <w:abstractNumId w:val="8"/>
  </w:num>
  <w:num w:numId="6">
    <w:abstractNumId w:val="2"/>
  </w:num>
  <w:num w:numId="7">
    <w:abstractNumId w:val="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3"/>
  </w:num>
  <w:num w:numId="11">
    <w:abstractNumId w:val="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4C"/>
    <w:rsid w:val="00057414"/>
    <w:rsid w:val="00093AAE"/>
    <w:rsid w:val="000E765D"/>
    <w:rsid w:val="00102CDE"/>
    <w:rsid w:val="00103B65"/>
    <w:rsid w:val="00116DDB"/>
    <w:rsid w:val="00126A45"/>
    <w:rsid w:val="001826E6"/>
    <w:rsid w:val="00187B8C"/>
    <w:rsid w:val="001A371A"/>
    <w:rsid w:val="001A4137"/>
    <w:rsid w:val="001D531D"/>
    <w:rsid w:val="001E43E8"/>
    <w:rsid w:val="00215A68"/>
    <w:rsid w:val="0022190B"/>
    <w:rsid w:val="00222F76"/>
    <w:rsid w:val="00225567"/>
    <w:rsid w:val="00230FE4"/>
    <w:rsid w:val="0023486E"/>
    <w:rsid w:val="00236FAE"/>
    <w:rsid w:val="00255B98"/>
    <w:rsid w:val="003220E2"/>
    <w:rsid w:val="00352164"/>
    <w:rsid w:val="003779A5"/>
    <w:rsid w:val="003836DF"/>
    <w:rsid w:val="00395079"/>
    <w:rsid w:val="003E5595"/>
    <w:rsid w:val="00414CD6"/>
    <w:rsid w:val="004478D3"/>
    <w:rsid w:val="00453625"/>
    <w:rsid w:val="00456A56"/>
    <w:rsid w:val="00473AF5"/>
    <w:rsid w:val="00497BD3"/>
    <w:rsid w:val="004A195A"/>
    <w:rsid w:val="00503FA0"/>
    <w:rsid w:val="005047FE"/>
    <w:rsid w:val="00514C27"/>
    <w:rsid w:val="00522A94"/>
    <w:rsid w:val="005419D4"/>
    <w:rsid w:val="00557F3B"/>
    <w:rsid w:val="00581B0C"/>
    <w:rsid w:val="00607429"/>
    <w:rsid w:val="00627C18"/>
    <w:rsid w:val="00634B5B"/>
    <w:rsid w:val="00660683"/>
    <w:rsid w:val="006806AF"/>
    <w:rsid w:val="0068529F"/>
    <w:rsid w:val="006A57C0"/>
    <w:rsid w:val="006A7C1C"/>
    <w:rsid w:val="006B1008"/>
    <w:rsid w:val="00700638"/>
    <w:rsid w:val="00741CD1"/>
    <w:rsid w:val="007527B1"/>
    <w:rsid w:val="0075487A"/>
    <w:rsid w:val="007735F6"/>
    <w:rsid w:val="007C02C4"/>
    <w:rsid w:val="007E7096"/>
    <w:rsid w:val="007F6054"/>
    <w:rsid w:val="008105EB"/>
    <w:rsid w:val="00814377"/>
    <w:rsid w:val="0082290D"/>
    <w:rsid w:val="00850227"/>
    <w:rsid w:val="00856F46"/>
    <w:rsid w:val="008634CB"/>
    <w:rsid w:val="0086672F"/>
    <w:rsid w:val="008741D5"/>
    <w:rsid w:val="00896B6A"/>
    <w:rsid w:val="008B75AE"/>
    <w:rsid w:val="008D3C49"/>
    <w:rsid w:val="00915DF9"/>
    <w:rsid w:val="00926E51"/>
    <w:rsid w:val="00941C5D"/>
    <w:rsid w:val="00963B5C"/>
    <w:rsid w:val="009757E9"/>
    <w:rsid w:val="00984F0F"/>
    <w:rsid w:val="00985625"/>
    <w:rsid w:val="009A3595"/>
    <w:rsid w:val="009F2B2B"/>
    <w:rsid w:val="009F5190"/>
    <w:rsid w:val="00A14823"/>
    <w:rsid w:val="00A22F0F"/>
    <w:rsid w:val="00A6496F"/>
    <w:rsid w:val="00A830AD"/>
    <w:rsid w:val="00A95323"/>
    <w:rsid w:val="00B0354C"/>
    <w:rsid w:val="00B21C9D"/>
    <w:rsid w:val="00B27429"/>
    <w:rsid w:val="00B31A4A"/>
    <w:rsid w:val="00B83C21"/>
    <w:rsid w:val="00BA5E49"/>
    <w:rsid w:val="00BA6186"/>
    <w:rsid w:val="00BB6E05"/>
    <w:rsid w:val="00C32B49"/>
    <w:rsid w:val="00C61782"/>
    <w:rsid w:val="00C63954"/>
    <w:rsid w:val="00C837B9"/>
    <w:rsid w:val="00C843B6"/>
    <w:rsid w:val="00CC64F0"/>
    <w:rsid w:val="00CC6B28"/>
    <w:rsid w:val="00CF4336"/>
    <w:rsid w:val="00CF45A7"/>
    <w:rsid w:val="00D11C25"/>
    <w:rsid w:val="00D64A28"/>
    <w:rsid w:val="00D95971"/>
    <w:rsid w:val="00DB3AC9"/>
    <w:rsid w:val="00DC5ADA"/>
    <w:rsid w:val="00DC781E"/>
    <w:rsid w:val="00DC7AC6"/>
    <w:rsid w:val="00DD03B2"/>
    <w:rsid w:val="00DE526B"/>
    <w:rsid w:val="00E116A2"/>
    <w:rsid w:val="00E45138"/>
    <w:rsid w:val="00E731C7"/>
    <w:rsid w:val="00EA315B"/>
    <w:rsid w:val="00EB656A"/>
    <w:rsid w:val="00EC6517"/>
    <w:rsid w:val="00ED1863"/>
    <w:rsid w:val="00F05C6A"/>
    <w:rsid w:val="00F5162B"/>
    <w:rsid w:val="00FB059D"/>
    <w:rsid w:val="00FD4FE4"/>
    <w:rsid w:val="00FE3ADF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F357"/>
  <w15:chartTrackingRefBased/>
  <w15:docId w15:val="{A1ED0E1F-17A9-41D1-AFDF-267F926E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B0354C"/>
    <w:rPr>
      <w:color w:val="0000FF"/>
      <w:u w:val="single"/>
    </w:rPr>
  </w:style>
  <w:style w:type="table" w:styleId="Reetkatablice">
    <w:name w:val="Table Grid"/>
    <w:basedOn w:val="Obinatablica"/>
    <w:uiPriority w:val="39"/>
    <w:rsid w:val="00B035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D11C25"/>
    <w:pPr>
      <w:spacing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EA315B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31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A315B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315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84F0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E5595"/>
    <w:rPr>
      <w:color w:val="954F72" w:themeColor="followedHyperlink"/>
      <w:u w:val="single"/>
    </w:rPr>
  </w:style>
  <w:style w:type="paragraph" w:customStyle="1" w:styleId="Default">
    <w:name w:val="Default"/>
    <w:rsid w:val="00DB3AC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DB3AC9"/>
    <w:rPr>
      <w:lang w:val="en-US"/>
    </w:rPr>
  </w:style>
  <w:style w:type="character" w:styleId="Naglaeno">
    <w:name w:val="Strong"/>
    <w:basedOn w:val="Zadanifontodlomka"/>
    <w:uiPriority w:val="22"/>
    <w:qFormat/>
    <w:rsid w:val="00DB3AC9"/>
    <w:rPr>
      <w:b/>
      <w:bCs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81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Predator</dc:creator>
  <cp:keywords/>
  <dc:description/>
  <cp:lastModifiedBy>Jozo</cp:lastModifiedBy>
  <cp:revision>29</cp:revision>
  <cp:lastPrinted>2024-11-28T08:56:00Z</cp:lastPrinted>
  <dcterms:created xsi:type="dcterms:W3CDTF">2023-11-24T09:02:00Z</dcterms:created>
  <dcterms:modified xsi:type="dcterms:W3CDTF">2025-12-21T18:32:00Z</dcterms:modified>
</cp:coreProperties>
</file>